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MessEV — Verkehrsfehlergrenzen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Messgeräte in Form nichtselbsttätiger Waagen müssen bei der Verwendung eine Verkehrsfehlergrenze einhalten, die dem Doppelten der für sie bestimmten Fehlergrenze entspricht.</w:t>
      </w:r>
    </w:p>
    <w:p>
      <w:r>
        <w:t xml:space="preserve">(2) Messgeräte müssen in den übrigen Fällen bei der Verwendung eine Genauigkeit aufweisen, die dem Stand der Technik unter Berücksichtigung der zu erfüllenden Messaufgabe entspricht. Es wird vermutet, dass die Verkehrsfehlergrenze eines Messgeräts eingehalten ist, wenn sie nicht mehr als das Doppelte der Fehlergrenze beträgt und eine anderweitige Feststellung des Regelermittlungsausschusses nach den Vorschriften des § 46 des Mess- und Eichgesetzes nicht veröffentlicht ist.</w:t>
      </w:r>
    </w:p>
    <w:p>
      <w:r>
        <w:rPr>
          <w:color w:val="555555"/>
          <w:sz w:val="17"/>
        </w:rPr>
        <w:t xml:space="preserve">Zitiervorschlag: § 22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