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MessEV — EG-Bauartzulassung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Außer Kraft: § 19 ist seit 01.12.2025 nicht mehr im MessEV enthalten. Angezeigt wird die letzte bekannte Fassung, Stand 10.06.2019.</w:t>
      </w:r>
    </w:p>
    <w:p>
      <w:r>
        <w:t xml:space="preserve">(1) Die EG-Bauartzulassung ist bei der Physikalisch-Technischen Bundesanstalt zu beantragen. Der Antrag muss den Anforderungen des Anhangs I Nummer 1 der Richtlinie 2009/34/EG genügen. Die beigefügten Unterlagen müssen in deutscher Sprache abgefasst sein.</w:t>
      </w:r>
    </w:p>
    <w:p>
      <w:r>
        <w:t xml:space="preserve">(2) Der Antrag ist zurückzuweisen, wenn er für die bezeichnete Gerätebauart bereits in einem anderen Mitgliedstaat der Europäischen Union gestellt worden ist.</w:t>
      </w:r>
    </w:p>
    <w:p>
      <w:r>
        <w:t xml:space="preserve">(3) Für die von der Physikalisch-Technischen Bundesanstalt vorzunehmende EG-Bauartzulassungsprüfung, die auszustellenden Bescheinigungen, die vom Hersteller am Messgerät anzubringenden Kennzeichen und die Bekanntmachung der Zulassung sind die Regelungen des Anhangs I Nummer 2, 3, 5 und 6 der Richtlinie 2009/34/EG anzuwenden. Im Verfahren der EG-Bauartzulassung sind ferner einzuhalten die Bestimmungen</w:t>
      </w:r>
    </w:p>
    <w:p>
      <w:pPr>
        <w:ind w:left="420"/>
      </w:pPr>
      <w:r>
        <w:t xml:space="preserve">1. der Nummer V des Anhangs der Richtlinie 75/33/EWG für die unter diese Richtlinie fallenden EG-Kaltwasserzähler,</w:t>
      </w:r>
    </w:p>
    <w:p>
      <w:pPr>
        <w:ind w:left="420"/>
      </w:pPr>
      <w:r>
        <w:t xml:space="preserve">2. bei der Nummer 5 des Anhangs der Richtlinie 86/217/EWG für die unter diese Richtlinie fallenden EG-Reifendruckmessgeräte für Kraftfahrzeugreifen.</w:t>
      </w:r>
    </w:p>
    <w:p>
      <w:r>
        <w:t xml:space="preserve">(4) Die EG-Bauartzulassung darf mit Nebenbestimmungen verbunden werden. Sie ist auf zehn Jahre zu befristen; ihre Gültigkeit darf um bis zu zehn Jahre verlängert werden. Die Zahl der Messgeräte, die in Übereinstimmung mit der zugelassenen Bauart hergestellt werden dürfen, ist nicht beschränkt.</w:t>
      </w:r>
    </w:p>
    <w:p>
      <w:r>
        <w:t xml:space="preserve">(5) Bei Anwendung neuer Techniken darf die Physikalisch-Technische Bundesanstalt nach Anhörung der übrigen Mitgliedstaaten abweichend von Absatz 3 und 4 eine beschränkte EG-Bauartzulassung erteilen. Artikel 5 Absatz 2 und 3 der Richtlinie 2009/34/EG ist anzuwenden. Eine beschränkte EG-Bauartzulassung ist auf höchstens zwei Jahre zu befristen und darf um bis zu drei weitere Jahre verlängert werden. Für die Kennzeichnung der beschränkten EG-Bauartzulassung ist Anhang I Nummer 3.2 der Richtlinie 2009/34/EG anzuwenden.</w:t>
      </w:r>
    </w:p>
    <w:p>
      <w:r>
        <w:t xml:space="preserve">(6) Die Physikalisch-Technische Bundesanstalt übermittelt die Bescheinigung über die EG-Bauartzulassung dem Antragsteller.</w:t>
      </w:r>
    </w:p>
    <w:p>
      <w:r>
        <w:rPr>
          <w:color w:val="555555"/>
          <w:sz w:val="17"/>
        </w:rPr>
        <w:t xml:space="preserve">Zitiervorschlag: § 19 MessEV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