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MessEV — Aufschriften auf sonstigen Messgeräten</w:t>
      </w:r>
    </w:p>
    <w:p>
      <w:r>
        <w:rPr>
          <w:color w:val="555555"/>
          <w:sz w:val="18"/>
        </w:rPr>
        <w:t xml:space="preserve">Mess- und Eichverordnung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Sonstige Messgeräte tragen folgende Aufschriften:</w:t>
      </w:r>
    </w:p>
    <w:p>
      <w:pPr>
        <w:ind w:left="420"/>
      </w:pPr>
      <w:r>
        <w:t xml:space="preserve">1. die Fabrikmarke oder den Namen des Herstellers und bei eingeführten Erzeugnissen des Einführers und</w:t>
      </w:r>
    </w:p>
    <w:p>
      <w:pPr>
        <w:ind w:left="420"/>
      </w:pPr>
      <w:r>
        <w:t xml:space="preserve">2. die Höchstlast, wobei dem Massewert die Buchstabenfolge „Max“ vorangestellt ist.</w:t>
      </w:r>
    </w:p>
    <w:p>
      <w:r>
        <w:rPr>
          <w:color w:val="555555"/>
          <w:sz w:val="17"/>
        </w:rPr>
        <w:t xml:space="preserve">Zitiervorschlag: § 16 MessEV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https://recht.nulegal.eu/gesetze/MessEV/16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