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MessEV — Gemeinsame Vorschriften für Kennzeichnungen und Aufschriften von Messgeräten und sonstigen Messgeräten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18.11.2021 (konsolidierte Textfassung, kein amtliches Inkrafttretensdatum)</w:t>
      </w:r>
    </w:p>
    <w:p>
      <w:r>
        <w:t xml:space="preserve">(1) Kennzeichnungen und Aufschriften müssen gut sichtbar, lesbar und dauerhaft auf dem Messgerät oder dem sonstigen Messgerät angebracht sein; sie müssen klar, unauslöschlich, eindeutig und nicht übertragbar sein. Für Kennzeichnungen und Aufschriften müssen lateinische Buchstaben und arabische Ziffern verwendet werden. Andere Buchstaben oder Ziffern dürfen zusätzlich verwendet werden.</w:t>
      </w:r>
    </w:p>
    <w:p>
      <w:r>
        <w:t xml:space="preserve">(2) Ist ein Messgerät zu klein oder zu empfindlich, um die erforderlichen Kennzeichnungen oder Aufschriften zu tragen, sind die Kennzeichnung oder Aufschriften auf den nach § 17 beizufügenden Informationen und auf der Verpackung anzubringen. Satz 1 ist anzuwenden auf Gewichtstücke, sofern andernfalls die Messrichtigkeit beeinträchtigt wäre.</w:t>
      </w:r>
    </w:p>
    <w:p>
      <w:r>
        <w:rPr>
          <w:color w:val="555555"/>
          <w:sz w:val="17"/>
        </w:rPr>
        <w:t xml:space="preserve">Zitiervorschlag: § 13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