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MessEV — Haftpflichtversicherung der Konformitätsbewertungsstelle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Haftpflichtversicherung, die die Konformitätsbewertungsstelle nach § 15 Absatz 8 des Mess- und Eichgesetzes abzuschließen hat, ist zur Deckung folgender Schäden bestimmt:</w:t>
      </w:r>
    </w:p>
    <w:p>
      <w:pPr>
        <w:ind w:left="420"/>
      </w:pPr>
      <w:r>
        <w:t xml:space="preserve">1. Personen-, Sach- oder Vermögensschäden, die sich aus der Tätigkeit der Konformitätsbewertungsstelle ergeben,</w:t>
      </w:r>
    </w:p>
    <w:p>
      <w:pPr>
        <w:ind w:left="420"/>
      </w:pPr>
      <w:r>
        <w:t xml:space="preserve">2. Schäden, für die die Konformitätsbewertungsstelle nach § 278 oder § 831 des Bürgerlichen Gesetzbuchs einzustehen hat.</w:t>
      </w:r>
    </w:p>
    <w:p>
      <w:r>
        <w:t xml:space="preserve">(2) Die Haftpflichtversicherung muss bei einem im Inland zum Geschäftsbetrieb befugten Versicherungsunternehmen abgeschlossen sein.</w:t>
      </w:r>
    </w:p>
    <w:p>
      <w:r>
        <w:t xml:space="preserve">(3) Das Versicherungsunternehmen darf die Haftung für die folgenden Ersatzansprüche ausschließen:</w:t>
      </w:r>
    </w:p>
    <w:p>
      <w:pPr>
        <w:ind w:left="420"/>
      </w:pPr>
      <w:r>
        <w:t xml:space="preserve">1. Ersatzansprüche wegen vorsätzlicher Pflichtverletzung des Versicherungsnehmers,</w:t>
      </w:r>
    </w:p>
    <w:p>
      <w:pPr>
        <w:ind w:left="420"/>
      </w:pPr>
      <w:r>
        <w:t xml:space="preserve">2. Ersatzansprüche wegen Vermögensschäden durch die Nichteinhaltung vertraglich vereinbarter Fristen.</w:t>
      </w:r>
    </w:p>
    <w:p>
      <w:r>
        <w:t xml:space="preserve">(4) Die Mindestversicherungssumme beträgt für jeden Versicherungsfall</w:t>
      </w:r>
    </w:p>
    <w:p>
      <w:pPr>
        <w:ind w:left="420"/>
      </w:pPr>
      <w:r>
        <w:t xml:space="preserve">1. für Konformitätsbewertungen nach Anlage 4 Module A2, B, C2, D, D1, E, E1, H oder H1 jeweils 1 Million Euro,</w:t>
      </w:r>
    </w:p>
    <w:p>
      <w:pPr>
        <w:ind w:left="420"/>
      </w:pPr>
      <w:r>
        <w:t xml:space="preserve">2. für Konformitätsbewertungen in allen übrigen Fällen jeweils 250 000 Euro.</w:t>
      </w:r>
    </w:p>
    <w:p>
      <w:r>
        <w:t xml:space="preserve">(5) Die Vereinbarung eines Selbstbehalts bis zu 1 Prozent der Mindestversicherungssumme ist zulässig.</w:t>
      </w:r>
    </w:p>
    <w:p>
      <w:r>
        <w:rPr>
          <w:color w:val="555555"/>
          <w:sz w:val="17"/>
        </w:rPr>
        <w:t xml:space="preserve">Zitiervorschlag: § 12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