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MessEV — Konformitätserklärungen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18.11.2021 (konsolidierte Textfassung, kein amtliches Inkrafttretensdatum)</w:t>
      </w:r>
    </w:p>
    <w:p>
      <w:r>
        <w:t xml:space="preserve">(1) Die Konformitätserklärung für eines der in § 8 genannten Messgeräte muss</w:t>
      </w:r>
    </w:p>
    <w:p>
      <w:pPr>
        <w:ind w:left="420"/>
      </w:pPr>
      <w:r>
        <w:t xml:space="preserve">1. für Messgeräte im Sinne des § 8 Nummer 1 bis 10 der in ihrem Aufbau dem Muster des Anhangs XIII der Richtlinie 2014/32/EU und für Messgeräte im Sinne des § 8 Nummer 11 dem Anhang IV der Richtlinie 2014/31/EU entsprechen und</w:t>
      </w:r>
    </w:p>
    <w:p>
      <w:pPr>
        <w:ind w:left="420"/>
      </w:pPr>
      <w:r>
        <w:t xml:space="preserve">2. alle Angaben enthalten, die nach dem jeweiligen Konformitätsbewertungsverfahren vorgesehen sind, das zum Nachweis der Konformität des Messgeräts auf Grund des § 9 Absatz 1 Satz 2 gewählt wurde.</w:t>
      </w:r>
    </w:p>
    <w:p>
      <w:r>
        <w:t xml:space="preserve">(2) Alle anderen Messgeräte sind mit einer Konformitätserklärung zu versehen, die</w:t>
      </w:r>
    </w:p>
    <w:p>
      <w:pPr>
        <w:ind w:left="420"/>
      </w:pPr>
      <w:r>
        <w:t xml:space="preserve">1. in ihrem Aufbau dem Muster der Anlage 5 entspricht und</w:t>
      </w:r>
    </w:p>
    <w:p>
      <w:pPr>
        <w:ind w:left="420"/>
      </w:pPr>
      <w:r>
        <w:t xml:space="preserve">2. alle Angaben enthält, die nach dem jeweiligen Konformitätsbewertungsverfahren vorgesehen sind, das zum Nachweis der Konformität des Messgeräts auf Grund des § 9 Absatz 1 Satz 3 und 4 gewählt wurde.</w:t>
      </w:r>
    </w:p>
    <w:p>
      <w:r>
        <w:t xml:space="preserve">(3) Die Konformitätserklärung muss in deutscher Sprache verfasst sein.</w:t>
      </w:r>
    </w:p>
    <w:p>
      <w:r>
        <w:rPr>
          <w:color w:val="555555"/>
          <w:sz w:val="17"/>
        </w:rPr>
        <w:t xml:space="preserve">Zitiervorschlag: § 11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