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MessEV — Technische Unterlagen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hat technische Unterlagen zu erstellen, die</w:t>
      </w:r>
    </w:p>
    <w:p>
      <w:pPr>
        <w:ind w:left="420"/>
      </w:pPr>
      <w:r>
        <w:t xml:space="preserve">1. die Konstruktion, die Herstellungs- und die Funktionsweise des Messgeräts ersichtlich machen, soweit diese Angaben für die Konformitätsbewertung erforderlich sind,</w:t>
      </w:r>
    </w:p>
    <w:p>
      <w:pPr>
        <w:ind w:left="420"/>
      </w:pPr>
      <w:r>
        <w:t xml:space="preserve">2. die Bewertung der Konformität des Messgeräts mit den wesentlichen Anforderungen im Sinne der §§ 7 und 8 ermöglichen; dazu sind die zu beachtenden Anforderungen aufzuführen und</w:t>
      </w:r>
    </w:p>
    <w:p>
      <w:pPr>
        <w:ind w:left="420"/>
      </w:pPr>
      <w:r>
        <w:t xml:space="preserve">3. eine geeignete Risikoanalyse und -bewertung des Messgeräts im Hinblick auf die Einhaltung der wesentlichen Anforderungen im Sinne der §§ 7 und 8 enthalten.</w:t>
      </w:r>
    </w:p>
    <w:p>
      <w:r>
        <w:t xml:space="preserve">Der Hersteller hat insbesondere die technischen Unterlagen zu erstellen, die in den Konformitätsbewertungsverfahren nach Anlage 4 aufgeführt sind.</w:t>
      </w:r>
    </w:p>
    <w:p>
      <w:r>
        <w:t xml:space="preserve">(2) Die technischen Unterlagen müssen Folgendes enthalten:</w:t>
      </w:r>
    </w:p>
    <w:p>
      <w:pPr>
        <w:ind w:left="420"/>
      </w:pPr>
      <w:r>
        <w:t xml:space="preserve">1. eine Beschreibung der messtechnischen Merkmale des Messgeräts,</w:t>
      </w:r>
    </w:p>
    <w:p>
      <w:pPr>
        <w:ind w:left="420"/>
      </w:pPr>
      <w:r>
        <w:t xml:space="preserve">2. Angaben zur Gewährleistung der Reproduzierbarkeit der messtechnischen Leistungen des Messgeräts, sofern das Messgerät mit angemessenen, hierfür vorgesehenen Mitteln ordnungsgemäß eingestellt ist, sowie</w:t>
      </w:r>
    </w:p>
    <w:p>
      <w:pPr>
        <w:ind w:left="420"/>
      </w:pPr>
      <w:r>
        <w:t xml:space="preserve">3. Angaben zur Eignung des Messgeräts, Messergebnisse unverfälscht zu ermitteln, zu speichern, anzuzeigen oder weiterzuverarbeiten (Integrität des Messgeräts).</w:t>
      </w:r>
    </w:p>
    <w:p>
      <w:r>
        <w:t xml:space="preserve">(3) Der Hersteller hat in den technischen Unterlagen ferner anzugeben,</w:t>
      </w:r>
    </w:p>
    <w:p>
      <w:pPr>
        <w:ind w:left="420"/>
      </w:pPr>
      <w:r>
        <w:t xml:space="preserve">1. an welcher Stelle Versiegelungen und Kennzeichnungen vorgenommen wurden und</w:t>
      </w:r>
    </w:p>
    <w:p>
      <w:pPr>
        <w:ind w:left="420"/>
      </w:pPr>
      <w:r>
        <w:t xml:space="preserve">2. welche Bedingungen für die Kompatibilität mit Schnittstellen und Teilgeräten maßgeblich sind.</w:t>
      </w:r>
    </w:p>
    <w:p>
      <w:r>
        <w:rPr>
          <w:color w:val="555555"/>
          <w:sz w:val="17"/>
        </w:rPr>
        <w:t xml:space="preserve">Zitiervorschlag: § 10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