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Schlussformel MessEGebV</w:t>
      </w:r>
    </w:p>
    <w:p>
      <w:r>
        <w:rPr>
          <w:color w:val="555555"/>
          <w:sz w:val="18"/>
        </w:rPr>
        <w:t xml:space="preserve">Mess- und Eichgebührenverordnung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Bundesrat hat zugestimmt.</w:t>
      </w:r>
    </w:p>
    <w:p>
      <w:r>
        <w:rPr>
          <w:color w:val="555555"/>
          <w:sz w:val="17"/>
        </w:rPr>
        <w:t xml:space="preserve">Zitiervorschlag: Schlussformel MessEGebV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https://recht.nulegal.eu/gesetze/MessEGebV/schlussformel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