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MessEGebV — Inkrafttreten, Außerkrafttreten</w:t>
      </w:r>
    </w:p>
    <w:p>
      <w:r>
        <w:rPr>
          <w:color w:val="555555"/>
          <w:sz w:val="18"/>
        </w:rPr>
        <w:t xml:space="preserve">Mess- und Eichgebührenverordnung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Eichkostenverordnung vom 21. April 1982 (BGBl. I S. 428), die zuletzt durch Artikel 2 Absatz 90 des Gesetzes vom 7. August 2013 (BGBl. I S. 3154) geändert worden ist, außer Kraft.</w:t>
      </w:r>
    </w:p>
    <w:p>
      <w:r>
        <w:rPr>
          <w:color w:val="555555"/>
          <w:sz w:val="17"/>
        </w:rPr>
        <w:t xml:space="preserve">Zitiervorschlag: § 8 MessEGebV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https://recht.nulegal.eu/gesetze/MessEGebV/8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