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MessEGebV — Gebührenermäßigung und Gebührenbefreiung</w:t>
      </w:r>
    </w:p>
    <w:p>
      <w:r>
        <w:rPr>
          <w:color w:val="555555"/>
          <w:sz w:val="18"/>
        </w:rPr>
        <w:t xml:space="preserve">Mess- und Eichgebührenverordnung</w:t>
      </w:r>
    </w:p>
    <w:p>
      <w:r>
        <w:rPr>
          <w:color w:val="555555"/>
          <w:sz w:val="18"/>
        </w:rPr>
        <w:t xml:space="preserve">Stand: 01.01.2026 (konsolidierte Textfassung, kein amtliches Inkrafttretensdatum)</w:t>
      </w:r>
    </w:p>
    <w:p>
      <w:r>
        <w:t xml:space="preserve">(1) Findet auf Verlangen der antragstellenden Person eine Teilbefundprüfung statt, so ermäßigt sich die für eine Vollprüfung zu erhebende Gebühr im angemessenen Verhältnis zu der durchgeführten Teilbefundprüfung.</w:t>
      </w:r>
    </w:p>
    <w:p>
      <w:r>
        <w:t xml:space="preserve">(2) Werden bei Eichung von der den Antrag stellenden Person vorgelegte aktuelle Prüfungs- und Untersuchungsergebnisse berücksichtigt, wie zum Beispiel Ergebnisse von akkreditierten Kalibrierlaboratorien, so ermäßigt sich die ohne solche Ergebnisse zu erhebende Gebühr im angemessenen Verhältnis zum ersparten Prüf- und Untersuchungsaufwand.</w:t>
      </w:r>
    </w:p>
    <w:p>
      <w:r>
        <w:t xml:space="preserve">(3) Aus Gründen des öffentlichen Interesses oder der Billigkeit kann eine niedrigere Gebühr als die in der Anlage vorgesehene Gebühr oder eine Gebührenbefreiung bestimmt werden. Im Übrigen können Ermäßigungen gewährt werden, sofern diese im Gebührenverzeichnis vorgesehen sind.</w:t>
      </w:r>
    </w:p>
    <w:p>
      <w:r>
        <w:rPr>
          <w:color w:val="555555"/>
          <w:sz w:val="17"/>
        </w:rPr>
        <w:t xml:space="preserve">Zitiervorschlag: § 7 MessEGebV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https://recht.nulegal.eu/gesetze/MessEGebV/7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