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MessEGebV — Auslagen</w:t>
      </w:r>
    </w:p>
    <w:p>
      <w:r>
        <w:rPr>
          <w:color w:val="555555"/>
          <w:sz w:val="18"/>
        </w:rPr>
        <w:t xml:space="preserve">Mess- und Eichgebührenverordnung</w:t>
      </w:r>
    </w:p>
    <w:p>
      <w:r>
        <w:rPr>
          <w:color w:val="555555"/>
          <w:sz w:val="18"/>
        </w:rPr>
        <w:t xml:space="preserve">Stand: 01.01.2026 (konsolidierte Textfassung, kein amtliches Inkrafttretensdatum)</w:t>
      </w:r>
    </w:p>
    <w:p>
      <w:r>
        <w:t xml:space="preserve">(1) Für die Erhebung von Auslagen der für die Durchführung der individuell zurechenbaren öffentlichen Leistung zuständigen Stelle sind § 12 Absatz 1 und § 9 Absatz 5 des Bundesgebührengesetzes entsprechend anzuwenden.</w:t>
      </w:r>
    </w:p>
    <w:p>
      <w:r>
        <w:t xml:space="preserve">(2) Darüber hinaus sind Auslagen zu erheben für</w:t>
      </w:r>
    </w:p>
    <w:p>
      <w:pPr>
        <w:ind w:left="420"/>
      </w:pPr>
      <w:r>
        <w:t xml:space="preserve">1. die durch die Hin- und Rücksendung von Messgeräten und sonstigen Messgeräten im Einzelfall entstehenden Kosten,</w:t>
      </w:r>
    </w:p>
    <w:p>
      <w:pPr>
        <w:ind w:left="420"/>
      </w:pPr>
      <w:r>
        <w:t xml:space="preserve">2. die aus einer Einziehung im Sinne von § 61 des Mess- und Eichgesetzes entstehenden Kosten,</w:t>
      </w:r>
    </w:p>
    <w:p>
      <w:pPr>
        <w:ind w:left="420"/>
      </w:pPr>
      <w:r>
        <w:t xml:space="preserve">3. Kosten, die nicht von Absatz 1 erfasst sind und im Zusammenhang mit einer beantragten Eichung gemäß § 37 Absatz 3 des Mess- und Eichgesetzes im Rahmen einer gesonderten Anfahrt entstehen,</w:t>
      </w:r>
    </w:p>
    <w:p>
      <w:pPr>
        <w:ind w:left="420"/>
      </w:pPr>
      <w:r>
        <w:t xml:space="preserve">4. die Beförderung von Prüfmitteln mittels Kraftfahrzeugen mit einem zulässigen Gesamtgewicht von mehr als 4 Tonnen, und zwar auch dann, wenn für die individuell zurechenbare öffentliche Leistung eine Festgebühr erhoben wird,</w:t>
      </w:r>
    </w:p>
    <w:p>
      <w:pPr>
        <w:ind w:left="420"/>
      </w:pPr>
      <w:r>
        <w:t xml:space="preserve">5. die bei Eichung der für die Eichung zuständigen Stelle entstehenden Kosten für</w:t>
      </w:r>
    </w:p>
    <w:p>
      <w:pPr>
        <w:ind w:left="780"/>
      </w:pPr>
      <w:r>
        <w:t xml:space="preserve">a) Wasser bei Mengen über 1 Kubikmeter oder</w:t>
      </w:r>
    </w:p>
    <w:p>
      <w:pPr>
        <w:ind w:left="780"/>
      </w:pPr>
      <w:r>
        <w:t xml:space="preserve">b) Referenzflüssigkeiten,</w:t>
      </w:r>
    </w:p>
    <w:p>
      <w:pPr>
        <w:ind w:left="420"/>
      </w:pPr>
      <w:r>
        <w:t xml:space="preserve">6. Personalkosten, die durch Wartezeiten, insbesondere für Sicherheitskontrollen und Belehrungen, für die Erfüllung sonstiger betriebsspezifischer Anforderungen sowie Unterbrechungen im Prüfablauf, im Zusammenhang mit der Durchführung einer individuell zurechenbaren öffentlichen Leistung, die der Gebührenschuldner veranlasst oder zu vertreten hat, entstehen,</w:t>
      </w:r>
    </w:p>
    <w:p>
      <w:pPr>
        <w:ind w:left="420"/>
      </w:pPr>
      <w:r>
        <w:t xml:space="preserve">7. Personalkosten, die durch übliche und notwendige Reisezeiten entstehen, sofern für die erbrachte individuell zurechenbare öffentliche Leistung,</w:t>
      </w:r>
    </w:p>
    <w:p>
      <w:pPr>
        <w:ind w:left="780"/>
      </w:pPr>
      <w:r>
        <w:t xml:space="preserve">a) eine Zeitgebühr nach der Anlage Schlüsselzahl 19.1.1.1 bis 19.1.1.3 erhoben wird, und die Reisezeit innerhalb der üblichen Arbeitszeit liegt,</w:t>
      </w:r>
    </w:p>
    <w:p>
      <w:pPr>
        <w:ind w:left="780"/>
      </w:pPr>
      <w:r>
        <w:t xml:space="preserve">b) von der für die Durchführung der individuell zurechenbaren öffentlichen Leistung zuständigen Stelle Reisezeiten besonders abgegolten werden oder</w:t>
      </w:r>
    </w:p>
    <w:p>
      <w:pPr>
        <w:ind w:left="780"/>
      </w:pPr>
      <w:r>
        <w:t xml:space="preserve">c) eine Fest- oder Rahmengebühr erhoben wird, die entsprechend der Anlage zu dieser Verordnung keine Reisezeit berücksichtigt, im Einzelfall jedoch Kosten für Reisezeiten anfallen.</w:t>
      </w:r>
    </w:p>
    <w:p>
      <w:r>
        <w:rPr>
          <w:color w:val="555555"/>
          <w:sz w:val="17"/>
        </w:rPr>
        <w:t xml:space="preserve">Zitiervorschlag: § 6 MessEGebV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https://recht.nulegal.eu/gesetze/MessEGebV/6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