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MessEGebV — Gebührenerhebung</w:t>
      </w:r>
    </w:p>
    <w:p>
      <w:r>
        <w:rPr>
          <w:color w:val="555555"/>
          <w:sz w:val="18"/>
        </w:rPr>
        <w:t xml:space="preserve">Mess- und Eichgebührenverordnung</w:t>
      </w:r>
    </w:p>
    <w:p>
      <w:r>
        <w:rPr>
          <w:color w:val="555555"/>
          <w:sz w:val="18"/>
        </w:rPr>
        <w:t xml:space="preserve">Stand: 01.01.2026 (konsolidierte Textfassung, kein amtliches Inkrafttretensdatum)</w:t>
      </w:r>
    </w:p>
    <w:p>
      <w:r>
        <w:t xml:space="preserve">(1) Die Gebühren werden für individuell zurechenbare öffentliche Leistungen gemäß den nachfolgenden Bestimmungen und dem dieser Verordnung als Anlage beigefügten Gebührenverzeichnis erhoben. Die in der Anlage zu dieser Verordnung aufgeführten Gebührensätze für die Eichung sind auch für die EG-Ersteichung anzuwenden.</w:t>
      </w:r>
    </w:p>
    <w:p>
      <w:r>
        <w:t xml:space="preserve">(2) Sofern keine Ausnahme nach den §§ 2, 4 oder 5 der Mess- und Eichverordnung vorliegt, sind Zeitgebühren nach § 4 zu erheben für die nicht in der Anlage aufgeführte Eichung und Befundprüfung an</w:t>
      </w:r>
    </w:p>
    <w:p>
      <w:pPr>
        <w:ind w:left="420"/>
      </w:pPr>
      <w:r>
        <w:t xml:space="preserve">1. Messgeräten nach § 3 Nummer 13 des Mess- und Eichgesetzes in Verbindung mit § 1 der Mess- und Eichverordnung,</w:t>
      </w:r>
    </w:p>
    <w:p>
      <w:pPr>
        <w:ind w:left="420"/>
      </w:pPr>
      <w:r>
        <w:t xml:space="preserve">2. sonstigen Messgeräten nach § 3 Nummer 14 des Mess- und Eichgesetzes in Verbindung mit § 3 der Mess- und Eichverordnung,</w:t>
      </w:r>
    </w:p>
    <w:p>
      <w:pPr>
        <w:ind w:left="420"/>
      </w:pPr>
      <w:r>
        <w:t xml:space="preserve">3. Zusatzeinrichtungen nach § 3 Nummer 24 und § 5 Nummer 1 des Mess- und Eichgesetzes in Verbindung mit § 1 der Mess- und Eichverordnung oder</w:t>
      </w:r>
    </w:p>
    <w:p>
      <w:pPr>
        <w:ind w:left="420"/>
      </w:pPr>
      <w:r>
        <w:t xml:space="preserve">4. Teilgeräten nach § 3 Nummer 20 und § 5 Nummer 2 des Mess- und Eichgesetzes in Verbindung mit § 1 der Mess- und Eichverordnung.</w:t>
      </w:r>
    </w:p>
    <w:p>
      <w:r>
        <w:t xml:space="preserve">Muss aufgrund gesetzlicher Vorgabe auf eine in der Mess- und Eichgebührenverordnung festgelegte Gebühr Mehrwertsteuer erhoben werden, so ist diese zusätzlich zur festgelegten Gebühr auszuweisen.</w:t>
      </w:r>
    </w:p>
    <w:p>
      <w:r>
        <w:t xml:space="preserve">(3) Können Bauteile oder Komponenten von Messgeräten, die nicht Teilgeräte sind, nicht im Rahmen einer Eichung geprüft werden, sondern erfordern eine Vorprüfung, sind für diese Prüfung Zeitgebühren nach § 4 zu erheben.</w:t>
      </w:r>
    </w:p>
    <w:p>
      <w:r>
        <w:rPr>
          <w:color w:val="555555"/>
          <w:sz w:val="17"/>
        </w:rPr>
        <w:t xml:space="preserve">Zitiervorschlag: § 3 MessEGebV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