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MessEG — Konformitätserklärung</w:t>
      </w:r>
    </w:p>
    <w:p>
      <w:r>
        <w:rPr>
          <w:color w:val="555555"/>
          <w:sz w:val="18"/>
        </w:rPr>
        <w:t xml:space="preserve">Mess- und Eichgesetz</w:t>
      </w:r>
    </w:p>
    <w:p>
      <w:r>
        <w:rPr>
          <w:color w:val="555555"/>
          <w:sz w:val="18"/>
        </w:rPr>
        <w:t xml:space="preserve">Stand: 10.06.2019 (konsolidierte Textfassung, kein amtliches Inkrafttretensdatum)</w:t>
      </w:r>
    </w:p>
    <w:p>
      <w:r>
        <w:t xml:space="preserve">(1) Unterliegt ein Messgerät mehreren Rechtsvorschriften der Europäischen Union, in denen jeweils eine Konformitätserklärung vorgeschrieben ist, wird nur eine Konformitätserklärung für sämtliche Rechtsvorschriften der Europäischen Union ausgestellt. In der Erklärung sind die betroffenen Rechtsvorschriften samt ihrer Fundstelle im Amtsblatt der Europäischen Union anzugeben.</w:t>
      </w:r>
    </w:p>
    <w:p>
      <w:r>
        <w:t xml:space="preserve">(2) Unterliegt ein Messgerät mehreren sonstigen Rechtsvorschriften, in denen jeweils eine Konformitätserklärung vorgeschrieben ist, wird nur eine Konformitätserklärung für sämtliche sonstigen Rechtsvorschriften ausgestellt. In der Erklärung sind die betreffenden Rechtsvorschriften mit der Fundstelle im Bundesgesetzblatt anzugeben.</w:t>
      </w:r>
    </w:p>
    <w:p>
      <w:r>
        <w:rPr>
          <w:color w:val="555555"/>
          <w:sz w:val="17"/>
        </w:rPr>
        <w:t xml:space="preserve">Zitiervorschlag: § 8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