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MessEG — Bußgeldvorschriften</w:t>
      </w:r>
    </w:p>
    <w:p>
      <w:r>
        <w:rPr>
          <w:color w:val="555555"/>
          <w:sz w:val="18"/>
        </w:rPr>
        <w:t xml:space="preserve">Mess- und Eichgesetz</w:t>
      </w:r>
    </w:p>
    <w:p>
      <w:r>
        <w:rPr>
          <w:color w:val="555555"/>
          <w:sz w:val="18"/>
        </w:rPr>
        <w:t xml:space="preserve">Stand: 01.01.2025 (konsolidierte Textfassung, kein amtliches Inkrafttretensdatum)</w:t>
      </w:r>
    </w:p>
    <w:p>
      <w:r>
        <w:t xml:space="preserve">(1) Ordnungswidrig handelt, wer vorsätzlich oder fahrlässig</w:t>
      </w:r>
    </w:p>
    <w:p>
      <w:pPr>
        <w:ind w:left="420"/>
      </w:pPr>
      <w:r>
        <w:t xml:space="preserve">1. entgegen § 6 Absatz 1 in Verbindung mit einer Rechtsverordnung nach § 30 Nummer 1, 3 oder Nummer 4 ein Messgerät in Verkehr bringt,</w:t>
      </w:r>
    </w:p>
    <w:p>
      <w:pPr>
        <w:ind w:left="420"/>
      </w:pPr>
      <w:r>
        <w:t xml:space="preserve">2. entgegen § 9 in Verbindung mit einer Rechtsverordnung nach § 30 Nummer 4 ein sonstiges Messgerät in Verkehr bringt,</w:t>
      </w:r>
    </w:p>
    <w:p>
      <w:pPr>
        <w:ind w:left="420"/>
      </w:pPr>
      <w:r>
        <w:t xml:space="preserve">3. entgegen § 10 ein Messgerät ausstellt,</w:t>
      </w:r>
    </w:p>
    <w:p>
      <w:pPr>
        <w:ind w:left="420"/>
      </w:pPr>
      <w:r>
        <w:t xml:space="preserve">4. ohne Anerkennung nach § 13 Absatz 1 Satz 1 ein Messgerät bewertet,</w:t>
      </w:r>
    </w:p>
    <w:p>
      <w:pPr>
        <w:ind w:left="420"/>
      </w:pPr>
      <w:r>
        <w:t xml:space="preserve">5. entgegen § 23 Absatz 3 Satz 4, auch in Verbindung mit § 24 Absatz 2 Satz 2 Nummer 1, eine dort genannte Unterlage oder die Konformitätserklärung nicht oder nicht mindestens zehn Jahre aufbewahrt oder nicht oder nicht mindestens zehn Jahre bereithält,</w:t>
      </w:r>
    </w:p>
    <w:p>
      <w:pPr>
        <w:ind w:left="420"/>
      </w:pPr>
      <w:r>
        <w:t xml:space="preserve">6. entgegen § 23 Absatz 4 in Verbindung mit einer Rechtsverordnung nach § 30 Nummer 2, jeweils auch in Verbindung mit § 24 Absatz 2 Satz 1, dem Messgerät eine Information nicht, nicht richtig, nicht vollständig oder nicht rechtzeitig beifügt,</w:t>
      </w:r>
    </w:p>
    <w:p>
      <w:pPr>
        <w:ind w:left="420"/>
      </w:pPr>
      <w:r>
        <w:t xml:space="preserve">7. entgegen § 23 Absatz 5 Satz 2, auch in Verbindung mit § 24 Absatz 2 Satz 1 oder § 25 Absatz 5 Satz 1, ein dort genanntes Verzeichnis nicht, nicht richtig oder nicht vollständig führt,</w:t>
      </w:r>
    </w:p>
    <w:p>
      <w:pPr>
        <w:ind w:left="420"/>
      </w:pPr>
      <w:r>
        <w:t xml:space="preserve">8. entgegen § 23 Absatz 6 Satz 3, auch in Verbindung mit § 24 Absatz 2 Satz 1 oder § 25 Absatz 5, die zuständige Behörde oder den Hersteller nicht, nicht richtig oder nicht rechtzeitig informiert,</w:t>
      </w:r>
    </w:p>
    <w:p>
      <w:pPr>
        <w:ind w:left="420"/>
      </w:pPr>
      <w:r>
        <w:t xml:space="preserve">9. entgegen § 25 Absatz 2 Nummer 3 in Verbindung mit einer Rechtsverordnung nach § 30 Nummer 2 nicht sicherstellt, dass dem Messgerät eine Information beigefügt ist,</w:t>
      </w:r>
    </w:p>
    <w:p>
      <w:pPr>
        <w:ind w:left="420"/>
      </w:pPr>
      <w:r>
        <w:t xml:space="preserve">10. entgegen § 25 Absatz 4 Satz 1 eine Kopie der Konformitätserklärung nicht oder nicht mindestens zehn Jahre bereithält,</w:t>
      </w:r>
    </w:p>
    <w:p>
      <w:pPr>
        <w:ind w:left="420"/>
      </w:pPr>
      <w:r>
        <w:t xml:space="preserve">11. entgegen § 25 Absatz 4 Satz 2 eine dort genannte Unterlage nicht, nicht richtig, nicht vollständig oder nicht rechtzeitig vorlegt,</w:t>
      </w:r>
    </w:p>
    <w:p>
      <w:pPr>
        <w:ind w:left="420"/>
      </w:pPr>
      <w:r>
        <w:t xml:space="preserve">12. entgegen</w:t>
      </w:r>
    </w:p>
    <w:p>
      <w:pPr>
        <w:ind w:left="780"/>
      </w:pPr>
      <w:r>
        <w:t xml:space="preserve">a) § 26 Absatz 1 Satz 1 Nummer 1, auch in Verbindung mit Satz 2, oder</w:t>
      </w:r>
    </w:p>
    <w:p>
      <w:pPr>
        <w:ind w:left="780"/>
      </w:pPr>
      <w:r>
        <w:t xml:space="preserve">b) § 26 Absatz 1 Satz 1 Nummer 2 in Verbindung mit einer Rechtsverordnung nach § 30 Nummer 2</w:t>
      </w:r>
    </w:p>
    <w:p>
      <w:pPr>
        <w:ind w:left="420"/>
      </w:pPr>
      <w:r>
        <w:t xml:space="preserve">nicht sicherstellt, dass ein Messgerät oder ein sonstiges Messgerät nur unter den dort genannten Voraussetzungen auf dem Markt bereitgestellt oder für eigene Zwecke in Betrieb genommen wird,</w:t>
      </w:r>
    </w:p>
    <w:p>
      <w:pPr>
        <w:ind w:left="420"/>
      </w:pPr>
      <w:r>
        <w:t xml:space="preserve">13. entgegen § 26 Absatz 2 Satz 2 oder Absatz 3 Satz 3 eine Information nicht, nicht richtig oder nicht rechtzeitig gibt,</w:t>
      </w:r>
    </w:p>
    <w:p>
      <w:pPr>
        <w:ind w:left="420"/>
      </w:pPr>
      <w:r>
        <w:t xml:space="preserve">14. entgegen § 31 Absatz 1 Satz 1 ein Messgerät oder ein sonstiges Messgerät verwendet,</w:t>
      </w:r>
    </w:p>
    <w:p>
      <w:pPr>
        <w:ind w:left="420"/>
      </w:pPr>
      <w:r>
        <w:t xml:space="preserve">15. entgegen § 31 Absatz 2 Nummer 1 in Verbindung mit einer Rechtsverordnung nach § 41 Absatz 1 Nummer 1 nicht sicherstellt, dass die wesentlichen Anforderungen erfüllt sind,</w:t>
      </w:r>
    </w:p>
    <w:p>
      <w:pPr>
        <w:ind w:left="420"/>
      </w:pPr>
      <w:r>
        <w:t xml:space="preserve">16. entgegen § 31 Absatz 2 Nummer 2 in Verbindung mit einer Rechtsverordnung nach § 41 Absatz 1 Nummer 3 nicht sicherstellt, dass die dort genannten Vorschriften beachtet werden,</w:t>
      </w:r>
    </w:p>
    <w:p>
      <w:pPr>
        <w:ind w:left="420"/>
      </w:pPr>
      <w:r>
        <w:t xml:space="preserve">17. entgegen § 31 Absatz 2 Nummer 4 in Verbindung mit einer Rechtsverordnung nach § 41 Absatz 1 Nummer 1 nicht sicherstellt, dass die dort genannten Nachweise aufbewahrt werden,</w:t>
      </w:r>
    </w:p>
    <w:p>
      <w:pPr>
        <w:ind w:left="420"/>
      </w:pPr>
      <w:r>
        <w:t xml:space="preserve">18. (weggefallen)</w:t>
      </w:r>
    </w:p>
    <w:p>
      <w:pPr>
        <w:ind w:left="420"/>
      </w:pPr>
      <w:r>
        <w:t xml:space="preserve">19. entgegen § 33 Absatz 1 Satz 1 einen dort genannten Wert angibt oder verwendet,</w:t>
      </w:r>
    </w:p>
    <w:p>
      <w:pPr>
        <w:ind w:left="420"/>
      </w:pPr>
      <w:r>
        <w:t xml:space="preserve">20. entgegen § 33 Absatz 3 Nummer 1 nicht dafür sorgt, dass eine Rechnung nachvollzogen werden kann,</w:t>
      </w:r>
    </w:p>
    <w:p>
      <w:pPr>
        <w:ind w:left="420"/>
      </w:pPr>
      <w:r>
        <w:t xml:space="preserve">21. entgegen § 43 Absatz 1 in Verbindung mit einer Rechtsverordnung nach § 44 Absatz 1 Nummer 1, 2, 6, 7 oder Nummer 9 eine Fertigpackung herstellt, in den Geltungsbereich des Gesetzes verbringt, in den Verkehr bringt oder sonst auf dem Markt bereitstellt,</w:t>
      </w:r>
    </w:p>
    <w:p>
      <w:pPr>
        <w:ind w:left="420"/>
      </w:pPr>
      <w:r>
        <w:t xml:space="preserve">22. entgegen § 43 Absatz 2 in Verbindung mit einer Rechtsverordnung nach § 44 Absatz 1 Nummer 11 eine Fertigpackung herstellt, in den Geltungsbereich des Gesetzes verbringt, in Verkehr bringt oder sonst auf dem Markt bereitstellt,</w:t>
      </w:r>
    </w:p>
    <w:p>
      <w:pPr>
        <w:ind w:left="420"/>
      </w:pPr>
      <w:r>
        <w:t xml:space="preserve">23. einer vollziehbaren Anordnung nach § 50 Absatz 2 Satz 2 Nummer 1 bis 6 oder Nummer 8 oder § 55 Absatz 1 Satz 2 Nummer 3, 4 oder Nummer 6 zuwiderhandelt,</w:t>
      </w:r>
    </w:p>
    <w:p>
      <w:pPr>
        <w:ind w:left="420"/>
      </w:pPr>
      <w:r>
        <w:t xml:space="preserve">24. entgegen § 52 Absatz 5 Satz 1 oder § 56 Absatz 3 Satz 1 eine Maßnahme nicht duldet oder eine zuständige Behörde oder einen Beauftragten nicht unterstützt,</w:t>
      </w:r>
    </w:p>
    <w:p>
      <w:pPr>
        <w:ind w:left="420"/>
      </w:pPr>
      <w:r>
        <w:t xml:space="preserve">25. entgegen § 52 Absatz 5 Satz 3 oder § 56 Absatz 3 Satz 2 eine Auskunft nicht, nicht richtig, nicht vollständig oder nicht rechtzeitig erteilt,</w:t>
      </w:r>
    </w:p>
    <w:p>
      <w:pPr>
        <w:ind w:left="420"/>
      </w:pPr>
      <w:r>
        <w:t xml:space="preserve">26. einer Rechtsverordnung nach § 41 Absatz 1 Nummer 4, 6, 7, 8 oder Nummer 10 oder § 44 Absatz 2 in Verbindung mit § 44 Absatz 1 Nummer 1, 2, 6, 7, 9 oder Nummer 11 oder einer vollziehbaren Anordnung auf Grund einer solchen Rechtsverordnung zuwiderhandelt, soweit die Rechtsverordnung für einen bestimmten Tatbestand auf diese Bußgeldvorschrift verweist oder</w:t>
      </w:r>
    </w:p>
    <w:p>
      <w:pPr>
        <w:ind w:left="420"/>
      </w:pPr>
      <w:r>
        <w:t xml:space="preserve">27. einer unmittelbar geltenden Vorschrift in Rechtsakten der Europäischen Union zuwiderhandelt, die inhaltlich</w:t>
      </w:r>
    </w:p>
    <w:p>
      <w:pPr>
        <w:ind w:left="780"/>
      </w:pPr>
      <w:r>
        <w:t xml:space="preserve">a) einem in Nummer 21 oder Nummer 22 genannten Verbot entspricht oder</w:t>
      </w:r>
    </w:p>
    <w:p>
      <w:pPr>
        <w:ind w:left="780"/>
      </w:pPr>
      <w:r>
        <w:t xml:space="preserve">b) einer Regelung entspricht, zu der die in Nummer 21 oder Nummer 22 genannten Vorschriften ermächtigen,</w:t>
      </w:r>
    </w:p>
    <w:p>
      <w:pPr>
        <w:ind w:left="420"/>
      </w:pPr>
      <w:r>
        <w:t xml:space="preserve">soweit eine Rechtsverordnung nach Absatz 4 für einen bestimmten Tatbestand auf diese Bußgeldvorschrift verweist.</w:t>
      </w:r>
    </w:p>
    <w:p>
      <w:r>
        <w:t xml:space="preserve">(2) Die Ordnungswidrigkeit kann in den Fällen des Absatzes 1 Nummer 1, 14, 15, 19, 21 und 22 mit einer Geldbuße bis zu fünfzigtausend Euro und in den übrigen Fällen mit einer Geldbuße bis zu zwanzigtausend Euro geahndet werden.</w:t>
      </w:r>
    </w:p>
    <w:p>
      <w:r>
        <w:t xml:space="preserve">(3) Verwaltungsbehörde im Sinne des § 36 Absatz 1 Nummer 1 des Gesetzes über Ordnungswidrigkeiten ist in den Fällen des Absatzes 1 Nummer 4 die nach § 11 Absatz 1 Satz 1 oder Satz 2 anerkennende Stelle.</w:t>
      </w:r>
    </w:p>
    <w:p>
      <w:r>
        <w:t xml:space="preserve">(4) Das Bundesministerium für Wirtschaft und Energie wird ermächtigt, soweit dies zur Durchsetzung der Rechtsakte der Europäischen Union erforderlich ist, durch Rechtsverordnung mit Zustimmung des Bundesrates die Tatbestände zu bezeichnen, die als Ordnungswidrigkeit nach Absatz 1 Nummer 27 geahndet werden können.</w:t>
      </w:r>
    </w:p>
    <w:p>
      <w:r>
        <w:rPr>
          <w:color w:val="555555"/>
          <w:sz w:val="17"/>
        </w:rPr>
        <w:t xml:space="preserve">Zitiervorschlag: § 60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