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MessEG — Inverkehrbringen von Messgeräten</w:t>
      </w:r>
    </w:p>
    <w:p>
      <w:r>
        <w:rPr>
          <w:color w:val="555555"/>
          <w:sz w:val="18"/>
        </w:rPr>
        <w:t xml:space="preserve">Mess- und Eichgesetz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Vorbehaltlich des Unterabschnitts 4 dürfen Messgeräte nur in Verkehr gebracht werden, wenn die in den Absätzen 2 bis 5 genannten Voraussetzungen erfüllt sind.</w:t>
      </w:r>
    </w:p>
    <w:p>
      <w:r>
        <w:t xml:space="preserve">(2) Messgeräte müssen die wesentlichen Anforderungen erfüllen; dies schließt die Einhaltung der Fehlergrenzen ein. Wesentliche Anforderungen im Sinne von Satz 1 sind diejenigen Anforderungen,</w:t>
      </w:r>
    </w:p>
    <w:p>
      <w:pPr>
        <w:ind w:left="420"/>
      </w:pPr>
      <w:r>
        <w:t xml:space="preserve">1. die in der Rechtsverordnung nach § 30 Nummer 1 festgelegt sind oder</w:t>
      </w:r>
    </w:p>
    <w:p>
      <w:pPr>
        <w:ind w:left="420"/>
      </w:pPr>
      <w:r>
        <w:t xml:space="preserve">2. die einzuhalten sind, um dem Stand der Technik zur Gewährleistung richtiger Messergebnisse und Messungen zu entsprechen, sofern in der Rechtsverordnung nach § 30 Nummer 1 keine näheren Festlegungen getroffen sind.</w:t>
      </w:r>
    </w:p>
    <w:p>
      <w:r>
        <w:t xml:space="preserve">(3) Zum Nachweis, dass ein Messgerät die wesentlichen Anforderungen im Sinne des Absatzes 2 erfüllt, muss eine in einer Rechtsverordnung nach § 30 Nummer 3 festgelegte Konformitätsbewertung erfolgreich durchgeführt worden sein und eine Konformitätserklärung vorliegen. Die Konformitätserklärung muss den Anforderungen der Rechtsverordnung nach § 30 Nummer 3 entsprechen.</w:t>
      </w:r>
    </w:p>
    <w:p>
      <w:r>
        <w:t xml:space="preserve">(4) Die Konformität eines Messgeräts muss durch die in einer Rechtsverordnung nach § 30 Nummer 4 bestimmten Kennzeichen bestätigt sein.</w:t>
      </w:r>
    </w:p>
    <w:p>
      <w:r>
        <w:t xml:space="preserve">(5) Das Messgerät muss mit den in einer Rechtsverordnung nach § 30 Nummer 4 bezeichneten Aufschriften zur näheren Bestimmung des Geräts und des Herstellers oder Einführers versehen sein.</w:t>
      </w:r>
    </w:p>
    <w:p>
      <w:r>
        <w:rPr>
          <w:color w:val="555555"/>
          <w:sz w:val="17"/>
        </w:rPr>
        <w:t xml:space="preserve">Zitiervorschlag: § 6 MessEG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