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MessEG — Gebühren und Auslagen der Landesbehörden, Verordnungsermächtigung</w:t>
      </w:r>
    </w:p>
    <w:p>
      <w:r>
        <w:rPr>
          <w:color w:val="555555"/>
          <w:sz w:val="18"/>
        </w:rPr>
        <w:t xml:space="preserve">Mess- und Eichgesetz</w:t>
      </w:r>
    </w:p>
    <w:p>
      <w:r>
        <w:rPr>
          <w:color w:val="555555"/>
          <w:sz w:val="18"/>
        </w:rPr>
        <w:t xml:space="preserve">Stand: 10.06.2019 (konsolidierte Textfassung, kein amtliches Inkrafttretensdatum)</w:t>
      </w:r>
    </w:p>
    <w:p>
      <w:r>
        <w:t xml:space="preserve">(1) Für individuell zurechenbare öffentliche Leistungen nach diesem Gesetz und den auf diesem Gesetz beruhenden Rechtsverordnungen erheben die Landesbehörden Gebühren und Auslagen nach den Absätzen 2 und 3. Für Prüfungen und Untersuchungen werden keine Gebühren und Auslagen erhoben, wenn die Prüfung und Untersuchung</w:t>
      </w:r>
    </w:p>
    <w:p>
      <w:pPr>
        <w:ind w:left="420"/>
      </w:pPr>
      <w:r>
        <w:t xml:space="preserve">1. nach § 52 ergibt, dass ein Messgerät den Bestimmungen dieses Gesetzes und der hierauf erlassenen Rechtsverordnungen entspricht,</w:t>
      </w:r>
    </w:p>
    <w:p>
      <w:pPr>
        <w:ind w:left="420"/>
      </w:pPr>
      <w:r>
        <w:t xml:space="preserve">2. nach § 56 ergibt, dass ein Messgerät entsprechend den Bestimmungen dieses Gesetzes und der hierauf erlassenen Rechtsverordnungen verwendet wurde.</w:t>
      </w:r>
    </w:p>
    <w:p>
      <w:r>
        <w:t xml:space="preserve">Ergibt eine Befundprüfung nach § 39, dass ein Messgerät die Verkehrsfehlergrenze nicht einhält oder den sonstigen wesentlichen Anforderungen nach § 6 Absatz 2 nicht entspricht, sind die Gebühren und Auslagen von demjenigen zu tragen, der das Messgerät verwendet, in den übrigen Fällen von demjenigen, der die Befundprüfung beantragt hatte.</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 Grunde zu legen. Zu den Gemeinkosten zählen auch die Kosten der Rechts- und Fachaufsicht. Grundlage der Gebührenermittlung nach den Sätzen 1 bis 4 sind die in der Gesamtheit der Länder mit der jeweiligen Leistung verbundenen Kosten. § 9 Absatz 3 des Bundesgebührengesetzes ist entsprechend anzuwenden.</w:t>
      </w:r>
    </w:p>
    <w:p>
      <w:r>
        <w:t xml:space="preserve">(3) Das Bundesministerium für Wirtschaft und Energie wird ermächtigt, für den Bereich der Landesverwaltung durch Rechtsverordnung mit Zustimmung des Bundesrates die gebührenpflichtigen Tatbestände, die Gebührenhöhe und die Auslagenerstattung näher zu bestimmen und dabei Fest-, Zeit- oder Rahmengebühren vorzusehen. In der Rechtsverordnung kann aus Gründen des öffentlichen Interesses oder der Billigkeit eine Gebührenbefreiung oder -ermäßigung bestimmt werden. Ferner kann bestimmt werden, dass die für eine Eichung im Sinne des § 37 zulässige Gebühr auch erhoben werden darf, wenn die individuell zurechenbare öffentliche Leistung aus Gründen, die der Betroffene zu vertreten hat, nicht am festgesetzten Termin stattfinden konnte.</w:t>
      </w:r>
    </w:p>
    <w:p>
      <w:r>
        <w:rPr>
          <w:color w:val="555555"/>
          <w:sz w:val="17"/>
        </w:rPr>
        <w:t xml:space="preserve">Zitiervorschlag: § 59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