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MessEG — Anwendung der Vorschriften über Messgeräte und Produkte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in den nachfolgenden Abschnitten Regelungen für Messgeräte oder Produkte getroffen werden, sind diese in gleicher Weise anzuwenden auf</w:t>
      </w:r>
    </w:p>
    <w:p>
      <w:pPr>
        <w:ind w:left="420"/>
      </w:pPr>
      <w:r>
        <w:t xml:space="preserve">1. Zusatzeinrichtungen zu Messgeräten,</w:t>
      </w:r>
    </w:p>
    <w:p>
      <w:pPr>
        <w:ind w:left="420"/>
      </w:pPr>
      <w:r>
        <w:t xml:space="preserve">2. Teilgeräte.</w:t>
      </w:r>
    </w:p>
    <w:p>
      <w:r>
        <w:rPr>
          <w:color w:val="555555"/>
          <w:sz w:val="17"/>
        </w:rPr>
        <w:t xml:space="preserve">Zitiervorschlag: § 5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