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MessEG — Zuständigkeit für die Marktüberwachung und Zusammenarbeit</w:t>
      </w:r>
    </w:p>
    <w:p>
      <w:r>
        <w:rPr>
          <w:color w:val="555555"/>
          <w:sz w:val="18"/>
        </w:rPr>
        <w:t xml:space="preserve">Mess- und Eichgesetz</w:t>
      </w:r>
    </w:p>
    <w:p>
      <w:r>
        <w:rPr>
          <w:color w:val="555555"/>
          <w:sz w:val="18"/>
        </w:rPr>
        <w:t xml:space="preserve">Stand: 10.06.2019 (konsolidierte Textfassung, kein amtliches Inkrafttretensdatum)</w:t>
      </w:r>
    </w:p>
    <w:p>
      <w:r>
        <w:t xml:space="preserve">(1) Die Überwachung der in Verkehr gebrachten Produkte (Marktüberwachung) obliegt den nach Landesrecht zuständigen Behörden, sofern in anderen bundesrechtlichen Regelungen keine abweichenden Festlegungen getroffen werden. Unbeschadet der gesetzlichen Vorschriften über die örtliche Zuständigkeit kann auch die Behörde, in deren Bezirk der Anlass für die Amtshandlung hervortritt, die für ihre Aufgabenerfüllung erforderlichen Unterlagen und Informationen über Produkte nach den Vorschriften des § 52 Absatz 2, 4 und 5 anfordern.</w:t>
      </w:r>
    </w:p>
    <w:p>
      <w:r>
        <w:t xml:space="preserve">(2) Die Marktüberwachungsbehörden arbeiten mit den für die Kontrolle der Außengrenzen zuständigen Behörden gemäß Kapitel III Abschnitt 3 der Verordnung (EG) Nr. 765/2008 zusammen. Satz 1 ist entsprechend auch für solche Messgeräte anzuwenden, die nicht von der Verordnung (EG) Nr. 765/2008 erfasst sind. Im Rahmen dieser Zusammenarbeit können die Behörden, die für die Kontrolle der Außengrenzen zuständig sind, den Marktüberwachungsbehörden auf deren Ersuchen die Informationen übermitteln, die sie bei der Überführung von Produkten in den zollrechtlich freien Verkehr erlangt haben und die für die Aufgabenerfüllung der Marktüberwachungsbehörden erforderlich sind.</w:t>
      </w:r>
    </w:p>
    <w:p>
      <w:r>
        <w:t xml:space="preserve">(3) Die Marktüberwachungsbehörden und die für die Kontrolle der Außengrenzen zuständigen Behörden schützen im Rahmen des geltenden Rechts Betriebsgeheimnisse und personenbezogene Daten.</w:t>
      </w:r>
    </w:p>
    <w:p>
      <w:r>
        <w:rPr>
          <w:color w:val="555555"/>
          <w:sz w:val="17"/>
        </w:rPr>
        <w:t xml:space="preserve">Zitiervorschlag: § 48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