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MessEG — Metrologische Rückführung</w:t>
      </w:r>
    </w:p>
    <w:p>
      <w:r>
        <w:rPr>
          <w:color w:val="555555"/>
          <w:sz w:val="18"/>
        </w:rPr>
        <w:t xml:space="preserve">Mess- und Eichgesetz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Konformitätsbewertungsstellen, zuständige Behörden und staatlich anerkannte Prüfstellen haben zur Sicherung der Einheitlichkeit des gesetzlichen Messwesens nachweisbar zu gewährleisten, dass die als Prüfmittel verwendeten Normale mit den bei der Physikalisch-Technischen Bundesanstalt aufbewahrten Normalen übereinstimmen (metrologische Rückführung).</w:t>
      </w:r>
    </w:p>
    <w:p>
      <w:r>
        <w:t xml:space="preserve">(2) Die Physikalisch-Technische Bundesanstalt hat eine Prüfung der Normalgeräte und Prüfungshilfsmittel der in Absatz 1 genannten Stellen auf Antrag vorzunehmen, sofern eine metrologische Rückführung auf anderem Weg nicht möglich ist.</w:t>
      </w:r>
    </w:p>
    <w:p>
      <w:r>
        <w:rPr>
          <w:color w:val="555555"/>
          <w:sz w:val="17"/>
        </w:rPr>
        <w:t xml:space="preserve">Zitiervorschlag: § 47 MessEG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https://recht.nulegal.eu/gesetze/MessEG/47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