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MessEG — Aufgaben der Physikalisch-Technischen Bundesanstalt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Physikalisch-Technische Bundesanstalt hat zur Sicherung der Einheitlichkeit des gesetzlichen Messwesens</w:t>
      </w:r>
    </w:p>
    <w:p>
      <w:pPr>
        <w:ind w:left="420"/>
      </w:pPr>
      <w:r>
        <w:t xml:space="preserve">1. die für die Durchführung dieses Gesetzes zuständigen Landesbehörden zu beraten,</w:t>
      </w:r>
    </w:p>
    <w:p>
      <w:pPr>
        <w:ind w:left="420"/>
      </w:pPr>
      <w:r>
        <w:t xml:space="preserve">2. naturwissenschaftlich-technische Fragestellungen des gesetzlichen Messwesens wissenschaftlich zu bearbeiten, insbesondere wissenschaftliche Forschung auf diesem Gebiet zu betreiben,</w:t>
      </w:r>
    </w:p>
    <w:p>
      <w:pPr>
        <w:ind w:left="420"/>
      </w:pPr>
      <w:r>
        <w:t xml:space="preserve">3. die Normung und Standardisierung auf diesem Gebiet zu unterstützen.</w:t>
      </w:r>
    </w:p>
    <w:p>
      <w:r>
        <w:rPr>
          <w:color w:val="555555"/>
          <w:sz w:val="17"/>
        </w:rPr>
        <w:t xml:space="preserve">Zitiervorschlag: § 45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