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 MessEG — Anforderungen an Fertigpackungen</w:t>
      </w:r>
    </w:p>
    <w:p>
      <w:r>
        <w:rPr>
          <w:color w:val="555555"/>
          <w:sz w:val="18"/>
        </w:rPr>
        <w:t xml:space="preserve">Mess- und Eichgesetz</w:t>
      </w:r>
    </w:p>
    <w:p>
      <w:r>
        <w:rPr>
          <w:color w:val="555555"/>
          <w:sz w:val="18"/>
        </w:rPr>
        <w:t xml:space="preserve">Stand: 10.06.2019 (konsolidierte Textfassung, kein amtliches Inkrafttretensdatum)</w:t>
      </w:r>
    </w:p>
    <w:p>
      <w:r>
        <w:t xml:space="preserve">(1) Fertigpackungen dürfen nur hergestellt, in den Geltungsbereich des Gesetzes verbracht, in den Verkehr gebracht oder sonst auf dem Markt bereitgestellt werden, wenn die Nennfüllmenge angegeben ist, die Füllmenge die festgelegten Anforderungen erfüllt und die Fertigpackung mit den erforderlichen Angaben, Aufschriften und Zeichen versehen ist.</w:t>
      </w:r>
    </w:p>
    <w:p>
      <w:r>
        <w:t xml:space="preserve">(2) Es ist verboten, Fertigpackungen herzustellen, herstellen zu lassen, in den Geltungsbereich dieses Gesetzes zu verbringen, in Verkehr zu bringen oder sonst auf dem Markt bereitzustellen, wenn sie ihrer Gestaltung und Befüllung nach eine größere Füllmenge vortäuschen als in ihnen enthalten ist.</w:t>
      </w:r>
    </w:p>
    <w:p>
      <w:r>
        <w:rPr>
          <w:color w:val="555555"/>
          <w:sz w:val="17"/>
        </w:rPr>
        <w:t xml:space="preserve">Zitiervorschlag: § 43 MessEG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https://recht.nulegal.eu/gesetze/MessEG/43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