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MessEG — Verordnungsermächtigung</w:t>
      </w:r>
    </w:p>
    <w:p>
      <w:r>
        <w:rPr>
          <w:color w:val="555555"/>
          <w:sz w:val="18"/>
        </w:rPr>
        <w:t xml:space="preserve">Mess- und Eichgesetz</w:t>
      </w:r>
    </w:p>
    <w:p>
      <w:r>
        <w:rPr>
          <w:color w:val="555555"/>
          <w:sz w:val="18"/>
        </w:rPr>
        <w:t xml:space="preserve">Stand: 28.07.2021 (konsolidierte Textfassung, kein amtliches Inkrafttretensdatum)</w:t>
      </w:r>
    </w:p>
    <w:p>
      <w:r>
        <w:t xml:space="preserve">(1) Die Bundesregierung wird ermächtigt, durch Rechtsverordnung mit Zustimmung des Bundesrates Regelungen zu erlassen</w:t>
      </w:r>
    </w:p>
    <w:p>
      <w:pPr>
        <w:ind w:left="420"/>
      </w:pPr>
      <w:r>
        <w:t xml:space="preserve">1. zur Konkretisierung der sich aus § 31 ergebenden Pflichten; dabei können insbesondere Anzeige-, Dokumentations-, Prüf- und Aufbewahrungspflichten sowie Verkehrsfehlergrenzen bestimmt werden,</w:t>
      </w:r>
    </w:p>
    <w:p>
      <w:pPr>
        <w:ind w:left="420"/>
      </w:pPr>
      <w:r>
        <w:t xml:space="preserve">2. zur Konkretisierung der sich aus § 33 Absatz 1 ergebenden Pflichten sowie über Ausnahmen von diesen Pflichten,</w:t>
      </w:r>
    </w:p>
    <w:p>
      <w:pPr>
        <w:ind w:left="420"/>
      </w:pPr>
      <w:r>
        <w:t xml:space="preserve">3. über das Verwenden öffentlicher Messgeräte im Sinne des § 31 Absatz 2 Nummer 2, insbesondere über</w:t>
      </w:r>
    </w:p>
    <w:p>
      <w:pPr>
        <w:ind w:left="780"/>
      </w:pPr>
      <w:r>
        <w:t xml:space="preserve">a) die Ausstattung, die Unterhaltung und den Betrieb öffentlicher Messgeräte, die Durchführung von Messungen und die Anzeigepflichten des Verwenders eines öffentlichen Messgeräts,</w:t>
      </w:r>
    </w:p>
    <w:p>
      <w:pPr>
        <w:ind w:left="780"/>
      </w:pPr>
      <w:r>
        <w:t xml:space="preserve">b) die Anforderungen an die Sachkunde und Unabhängigkeit des Verwenders und des Betriebspersonals sowie an die Prüfung dieser Anforderungen,</w:t>
      </w:r>
    </w:p>
    <w:p>
      <w:pPr>
        <w:ind w:left="780"/>
      </w:pPr>
      <w:r>
        <w:t xml:space="preserve">c) den Nachweis der Messungen und die Aufbewahrung der Unterlagen,</w:t>
      </w:r>
    </w:p>
    <w:p>
      <w:pPr>
        <w:ind w:left="780"/>
      </w:pPr>
      <w:r>
        <w:t xml:space="preserve">d) die Kennzeichnung der öffentlichen Messgeräte,</w:t>
      </w:r>
    </w:p>
    <w:p>
      <w:pPr>
        <w:ind w:left="780"/>
      </w:pPr>
      <w:r>
        <w:t xml:space="preserve">e) das Verfahren im Zusammenhang mit den Buchstaben a bis d,</w:t>
      </w:r>
    </w:p>
    <w:p>
      <w:pPr>
        <w:ind w:left="420"/>
      </w:pPr>
      <w:r>
        <w:t xml:space="preserve">4. über das Verbot der Ausnutzung von Verkehrsfehlergrenzen und Abweichungen,</w:t>
      </w:r>
    </w:p>
    <w:p>
      <w:pPr>
        <w:ind w:left="420"/>
      </w:pPr>
      <w:r>
        <w:t xml:space="preserve">5. zur Bestimmung von Ausnahmen von den Pflichten beim Verwenden von Messgeräten oder Messwerten für bestimmte Verwendungen nach § 36,</w:t>
      </w:r>
    </w:p>
    <w:p>
      <w:pPr>
        <w:ind w:left="420"/>
      </w:pPr>
      <w:r>
        <w:t xml:space="preserve">6. über die Eichung und die Eichfristen, insbesondere über</w:t>
      </w:r>
    </w:p>
    <w:p>
      <w:pPr>
        <w:ind w:left="780"/>
      </w:pPr>
      <w:r>
        <w:t xml:space="preserve">a) Beginn und Dauer der Eichfristen,</w:t>
      </w:r>
    </w:p>
    <w:p>
      <w:pPr>
        <w:ind w:left="780"/>
      </w:pPr>
      <w:r>
        <w:t xml:space="preserve">b) die Voraussetzungen zur Verlängerung von Eichfristen, insbesondere Vorgaben in Bezug auf die Durchführung und die Wiederholung von Prüfungen sowie Anforderungen an die Beschaffenheit und Prüfung von Prüf- und Kontrollmitteln,</w:t>
      </w:r>
    </w:p>
    <w:p>
      <w:pPr>
        <w:ind w:left="780"/>
      </w:pPr>
      <w:r>
        <w:t xml:space="preserve">c) die Vorbereitung und Durchführung der Eichung, einschließlich der Kennzeichnung und der Wiederholung von Prüfungen sowie der Pflichten des Antragstellers zur Vorlage von Dokumenten und zur Mitwirkung bei der Vorbereitung und Durchführung der Eichung,</w:t>
      </w:r>
    </w:p>
    <w:p>
      <w:pPr>
        <w:ind w:left="420"/>
      </w:pPr>
      <w:r>
        <w:t xml:space="preserve">7. zu den Anforderungen an eine Instandsetzung im Sinne des § 37 Absatz 5, insbesondere Vorgaben für Instandsetzungsbetriebe sowie die Kennzeichnung entsprechend instand gesetzter Geräte,</w:t>
      </w:r>
    </w:p>
    <w:p>
      <w:pPr>
        <w:ind w:left="420"/>
      </w:pPr>
      <w:r>
        <w:t xml:space="preserve">8. zu den Einzelheiten des Verfahrens bei der Aktualisierung von Software im Sinne des § 37 Absatz 6,</w:t>
      </w:r>
    </w:p>
    <w:p>
      <w:pPr>
        <w:ind w:left="420"/>
      </w:pPr>
      <w:r>
        <w:t xml:space="preserve">9. zu den Voraussetzungen, dem Umfang und dem Verfahren</w:t>
      </w:r>
    </w:p>
    <w:p>
      <w:pPr>
        <w:ind w:left="780"/>
      </w:pPr>
      <w:r>
        <w:t xml:space="preserve">a) der Anerkennung von Prüfstellen im Sinne des § 40 Absatz 3, einschließlich näherer Regelungen über die Verpflichtung zum Abschluss einer Haftpflichtversicherung, insbesondere zum Umfang des notwendigen Versicherungsschutzes, zur Mindestversicherungssumme je Versicherungsfall sowie zu zulässigen Risikoausschlüssen, und</w:t>
      </w:r>
    </w:p>
    <w:p>
      <w:pPr>
        <w:ind w:left="780"/>
      </w:pPr>
      <w:r>
        <w:t xml:space="preserve">b) der öffentlichen Bestellung und Verpflichtung des Prüfstellenpersonals sowie</w:t>
      </w:r>
    </w:p>
    <w:p>
      <w:pPr>
        <w:ind w:left="780"/>
      </w:pPr>
      <w:r>
        <w:t xml:space="preserve">c) des Betriebs der Prüfstelle, einschließlich der dafür erforderlichen Dokumentationspflichten der Prüfstelle,</w:t>
      </w:r>
    </w:p>
    <w:p>
      <w:pPr>
        <w:ind w:left="420"/>
      </w:pPr>
      <w:r>
        <w:t xml:space="preserve">10. zu den besonderen Anforderungen an die Verwendung von Maßverkörperungen, die zum gewerbsmäßigen Ausschank von Getränken gegen Entgelt bestimmt sind (Ausschankmaße), einschließlich der Festlegung bestimmter, von Ausschankmaßen einzuhaltender Maßvolumina.</w:t>
      </w:r>
    </w:p>
    <w:p>
      <w:r>
        <w:t xml:space="preserve">(2) Die Bundesregierung kann die Ermächtigung nach Absatz 1 Nummer 2 durch Rechtsverordnung auf die Bundesnetzagentur für Elektrizität, Gas, Telekommunikation, Post und Eisenbahnen übertragen, soweit Ausnahmen von den sich aus § 33 Absatz 1 ergebenden Pflichten für den Bereich der Versorgungsleistungen mit Elektrizität und Gas geregelt werden.</w:t>
      </w:r>
    </w:p>
    <w:p>
      <w:r>
        <w:rPr>
          <w:color w:val="555555"/>
          <w:sz w:val="17"/>
        </w:rPr>
        <w:t xml:space="preserve">Zitiervorschlag: § 41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