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MessEG — Befundprüfung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Wer ein begründetes Interesse an der Messrichtigkeit darlegt, kann bei der Behörde nach § 40 Absatz 1 beantragen festzustellen, ob ein Messgerät die wesentlichen Anforderungen nach § 6 Absatz 2 erfüllt, wobei anstelle der Fehlergrenzen nach § 6 Absatz 2 die in einer Rechtsverordnung nach § 41 Absatz 1 Nummer 1 bestimmten Verkehrsfehlergrenzen einzuhalten sind (Befundprüfung).</w:t>
      </w:r>
    </w:p>
    <w:p>
      <w:r>
        <w:t xml:space="preserve">(2) Für ein Messgerät oder eine damit verbundene Zusatzeinrichtung, das oder die bei der Ermittlung des Verbrauchs an Elektrizität, Gas, Wärme oder Wasser eingesetzt wird, kann die Feststellung nach Absatz 1 auch bei einer staatlich anerkannten Prüfstelle nach § 40 Absatz 3 beantragt werden.</w:t>
      </w:r>
    </w:p>
    <w:p>
      <w:r>
        <w:rPr>
          <w:color w:val="555555"/>
          <w:sz w:val="17"/>
        </w:rPr>
        <w:t xml:space="preserve">Zitiervorschlag: § 39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