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MessEG — Verspätete Eichungen</w:t>
      </w:r>
    </w:p>
    <w:p>
      <w:r>
        <w:rPr>
          <w:color w:val="555555"/>
          <w:sz w:val="18"/>
        </w:rPr>
        <w:t xml:space="preserve">Mess- und Eichgesetz</w:t>
      </w:r>
    </w:p>
    <w:p>
      <w:r>
        <w:rPr>
          <w:color w:val="555555"/>
          <w:sz w:val="18"/>
        </w:rPr>
        <w:t xml:space="preserve">Stand: 10.06.2019 (konsolidierte Textfassung, kein amtliches Inkrafttretensdatum)</w:t>
      </w:r>
    </w:p>
    <w:p>
      <w:r>
        <w:t xml:space="preserve">Hat der Verwender die Eichung mindestens zehn Wochen vor Ablauf der Eichfrist beantragt und das zur Eichung seinerseits Erforderliche getan oder angeboten, steht das Messgerät trotz des Ablaufs der Eichfrist bis zum Zeitpunkt der behördlichen Überprüfung einem geeichten Messgerät gleich. Hat der Verwender die Eichung zu einem späteren Zeitpunkt beantragt und ist der Behörde eine Eichung vor Ablauf der Eichfrist nicht möglich, so kann sie das weitere Verwenden des Messgeräts bis zum Zeitpunkt der behördlichen Überprüfung gestatten. Die Behörde soll die Eichung nach Ablauf der Eichfrist unverzüglich vornehmen.</w:t>
      </w:r>
    </w:p>
    <w:p>
      <w:r>
        <w:rPr>
          <w:color w:val="555555"/>
          <w:sz w:val="17"/>
        </w:rPr>
        <w:t xml:space="preserve">Zitiervorschlag: § 38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