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MessEG — Ausnahmen für bestimmte Verwendungen</w:t>
      </w:r>
    </w:p>
    <w:p>
      <w:r>
        <w:rPr>
          <w:color w:val="555555"/>
          <w:sz w:val="18"/>
        </w:rPr>
        <w:t xml:space="preserve">Mess- und Eichgesetz</w:t>
      </w:r>
    </w:p>
    <w:p>
      <w:r>
        <w:rPr>
          <w:color w:val="555555"/>
          <w:sz w:val="18"/>
        </w:rPr>
        <w:t xml:space="preserve">Stand: 28.07.2021 (konsolidierte Textfassung, kein amtliches Inkrafttretensdatum)</w:t>
      </w:r>
    </w:p>
    <w:p>
      <w:r>
        <w:t xml:space="preserve">Die Pflichten dieses Unterabschnitts sind nicht anzuwenden, soweit in der Rechtsverordnung nach § 41 Absatz 1 Nummer 5 Ausnahmen für einzelne Verwendungen bestimmt sind. Ausnahmen können bestimmt werden, wenn das Schutzbedürfnis der von der Messung Betroffenen dies rechtfertigt. Dies ist insbesondere der Fall, wenn</w:t>
      </w:r>
    </w:p>
    <w:p>
      <w:pPr>
        <w:ind w:left="420"/>
      </w:pPr>
      <w:r>
        <w:t xml:space="preserve">1. davon ausgegangen werden kann, dass die von der Messung unmittelbar Betroffenen wirtschaftlich gleichwertig sind und über die erforderliche Kompetenz zur Durchführung von Messungen und zur Bewertung der Messergebnisse verfügen,</w:t>
      </w:r>
    </w:p>
    <w:p>
      <w:pPr>
        <w:ind w:left="420"/>
      </w:pPr>
      <w:r>
        <w:t xml:space="preserve">2. in anderen Vorschriften als nach den Bestimmungen dieses Gesetzes und der auf Grund dieses Gesetzes erlassenen Rechtsverordnung sichergestellt ist, dass das Verwenden der Messgeräte zu einer zutreffenden Bestimmung von Messwerten führt oder</w:t>
      </w:r>
    </w:p>
    <w:p>
      <w:pPr>
        <w:ind w:left="420"/>
      </w:pPr>
      <w:r>
        <w:t xml:space="preserve">3. bei einem amtlichen Verwenden von Messgeräten die Messrichtigkeit nicht von Bedeutung ist.</w:t>
      </w:r>
    </w:p>
    <w:p>
      <w:r>
        <w:rPr>
          <w:color w:val="555555"/>
          <w:sz w:val="17"/>
        </w:rPr>
        <w:t xml:space="preserve">Zitiervorschlag: § 36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