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MessEG — Vermutungswirkung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Verpflichtete Maßnahmen ergriffen hat, die von Regeln, technischen Spezifikationen oder Erkenntnissen abgedeckt sind, die vom Ausschuss nach § 46 ermittelt wurden und deren Fundstelle die Physikalisch-Technische Bundesanstalt im Bundesanzeiger veröffentlicht hat, wird vermutet, dass</w:t>
      </w:r>
    </w:p>
    <w:p>
      <w:pPr>
        <w:ind w:left="420"/>
      </w:pPr>
      <w:r>
        <w:t xml:space="preserve">1. die wesentlichen Anforderungen bei dem Verwenden von Messgeräten nach § 31 Absatz 2 Nummer 1 erfüllt werden und</w:t>
      </w:r>
    </w:p>
    <w:p>
      <w:pPr>
        <w:ind w:left="420"/>
      </w:pPr>
      <w:r>
        <w:t xml:space="preserve">2. Rechnungen, bei denen Messwerte nach § 33 Absatz 3 verwendet werden, nachvollzogen werden können.</w:t>
      </w:r>
    </w:p>
    <w:p>
      <w:r>
        <w:rPr>
          <w:color w:val="555555"/>
          <w:sz w:val="17"/>
        </w:rPr>
        <w:t xml:space="preserve">Zitiervorschlag: § 34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