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MessEG — Anforderungen an das Verwenden von Messwerten</w:t>
      </w:r>
    </w:p>
    <w:p>
      <w:r>
        <w:rPr>
          <w:color w:val="555555"/>
          <w:sz w:val="18"/>
        </w:rPr>
        <w:t xml:space="preserve">Mess- und Eichgesetz</w:t>
      </w:r>
    </w:p>
    <w:p>
      <w:r>
        <w:rPr>
          <w:color w:val="555555"/>
          <w:sz w:val="18"/>
        </w:rPr>
        <w:t xml:space="preserve">Stand: 28.07.2021 (konsolidierte Textfassung, kein amtliches Inkrafttretensdatum)</w:t>
      </w:r>
    </w:p>
    <w:p>
      <w:r>
        <w:t xml:space="preserve">(1) Werte für Messgrößen dürfen im geschäftlichen oder amtlichen Verkehr oder bei Messungen im öffentlichen Interesse nur dann angegeben oder verwendet werden, wenn zu ihrer Bestimmung ein Messgerät bestimmungsgemäß verwendet wurde und die Werte auf das jeweilige Messergebnis zurückzuführen sind, soweit in der Rechtsverordnung nach § 41 Absatz 1 Nummer 2 nichts anderes bestimmt ist. Andere bundesrechtliche Regelungen, die vergleichbaren Schutzzwecken dienen, sind weiterhin anzuwenden.</w:t>
      </w:r>
    </w:p>
    <w:p>
      <w:r>
        <w:t xml:space="preserve">(2) Wer Messwerte verwendet, hat sich im Rahmen seiner Möglichkeiten zu vergewissern, dass das Messgerät die gesetzlichen Anforderungen erfüllt und hat sich von der Person, die das Messgerät verwendet, bestätigen zu lassen, dass sie ihre Verpflichtungen erfüllt.</w:t>
      </w:r>
    </w:p>
    <w:p>
      <w:r>
        <w:t xml:space="preserve">(3) Wer Messwerte verwendet, hat</w:t>
      </w:r>
    </w:p>
    <w:p>
      <w:pPr>
        <w:ind w:left="420"/>
      </w:pPr>
      <w:r>
        <w:t xml:space="preserve">1. dafür zu sorgen, dass Rechnungen, soweit sie auf Messwerten beruhen, von demjenigen, für den die Rechnungen bestimmt sind, in einfacher Weise zur Überprüfung angegebener Messwerte nachvollzogen werden können und</w:t>
      </w:r>
    </w:p>
    <w:p>
      <w:pPr>
        <w:ind w:left="420"/>
      </w:pPr>
      <w:r>
        <w:t xml:space="preserve">2. für die in Nummer 1 genannten Zwecke erforderlichenfalls geeignete Hilfsmittel bereitzustellen.</w:t>
      </w:r>
    </w:p>
    <w:p>
      <w:r>
        <w:rPr>
          <w:color w:val="555555"/>
          <w:sz w:val="17"/>
        </w:rPr>
        <w:t xml:space="preserve">Zitiervorschlag: § 33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