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MessEG — Anforderungen an das Verwenden von Messgeräten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Verwendet werden dürfen ausschließlich Messgeräte oder sonstige Messgeräte, die den Bestimmungen dieses Gesetzes und der auf seiner Grundlage erlassenen Rechtsverordnungen entsprechen. Sie müssen im Rahmen der vorgesehenen Verwendungsbedingungen eingesetzt werden.</w:t>
      </w:r>
    </w:p>
    <w:p>
      <w:r>
        <w:t xml:space="preserve">(2) Wer ein Messgerät verwendet, hat sicherzustellen, dass</w:t>
      </w:r>
    </w:p>
    <w:p>
      <w:pPr>
        <w:ind w:left="420"/>
      </w:pPr>
      <w:r>
        <w:t xml:space="preserve">1. die wesentlichen Anforderungen an das Messgerät nach § 6 Absatz 2 während der gesamten Zeit, in der das Messgerät verwendet wird, und bei der Zusammenschaltung mit anderen Geräten erfüllt sind, wobei anstelle der Fehlergrenzen nach § 6 Absatz 2 die Verkehrsfehlergrenzen einzuhalten sind,</w:t>
      </w:r>
    </w:p>
    <w:p>
      <w:pPr>
        <w:ind w:left="420"/>
      </w:pPr>
      <w:r>
        <w:t xml:space="preserve">2. die in einer Rechtsverordnung nach § 41 Absatz 1 Nummer 3 enthaltenen Vorschriften über das Verwenden öffentlicher Messgeräte beachtet werden, wenn das Messgerät dazu verwendet wird, Messungen für jedermann vorzunehmen (öffentliches Messgerät),</w:t>
      </w:r>
    </w:p>
    <w:p>
      <w:pPr>
        <w:ind w:left="420"/>
      </w:pPr>
      <w:r>
        <w:t xml:space="preserve">3. das Messgerät nach § 37 Absatz 1 nicht ungeeicht verwendet wird,</w:t>
      </w:r>
    </w:p>
    <w:p>
      <w:pPr>
        <w:ind w:left="420"/>
      </w:pPr>
      <w:r>
        <w:t xml:space="preserve">4. Nachweise über erfolgte Wartungen, Reparaturen oder sonstige Eingriffe am Messgerät, einschließlich solcher durch elektronisch vorgenommene Maßnahmen, für einen Zeitraum von bis zu drei Monaten nach Ablauf der nach § 41 Absatz 1 Nummer 6 bestimmten Eichfrist, längstens für fünf Jahre, aufbewahrt werden.</w:t>
      </w:r>
    </w:p>
    <w:p>
      <w:r>
        <w:rPr>
          <w:color w:val="555555"/>
          <w:sz w:val="17"/>
        </w:rPr>
        <w:t xml:space="preserve">Zitiervorschlag: § 31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