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MessEG — Verordnungsermächtigung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 zur Gewährleistung der Messrichtigkeit, Messbeständigkeit und Prüfbarkeit, auch zur Umsetzung von Rechtsakten der Europäischen Union Folgendes näher zu bestimmen:</w:t>
      </w:r>
    </w:p>
    <w:p>
      <w:pPr>
        <w:ind w:left="420"/>
      </w:pPr>
      <w:r>
        <w:t xml:space="preserve">1. die wesentlichen Anforderungen an Messgeräte im Sinne des § 6 Absatz 2 Satz 2 Nummer 1 im Rahmen des vorgesehenen Verwendens in Form von allgemeinen Vorgaben für Messgeräte und, soweit europarechtlich erforderlich, in Form von gerätespezifischen Vorgaben; dabei können auch Regelungen getroffen werden über Sicherungen des Messgeräts zum Schutz vor einem unbefugten Zugriff Dritter auf Messwerte,</w:t>
      </w:r>
    </w:p>
    <w:p>
      <w:pPr>
        <w:ind w:left="420"/>
      </w:pPr>
      <w:r>
        <w:t xml:space="preserve">2. die dem Messgerät für die Verwendung in deutscher Sprache beizufügenden Informationen,</w:t>
      </w:r>
    </w:p>
    <w:p>
      <w:pPr>
        <w:ind w:left="420"/>
      </w:pPr>
      <w:r>
        <w:t xml:space="preserve">3. die Anforderungen an die Konformitätsbewertung im Sinne des § 6 Absatz 3, deren Durchführung einschließlich der Festlegung der dafür zu erstellenden technischen Unterlagen, die Zuordnung der Messgeräte zu den einzelnen Verfahren der Konformitätsbewertung sowie den Inhalt von Konformitätserklärungen,</w:t>
      </w:r>
    </w:p>
    <w:p>
      <w:pPr>
        <w:ind w:left="420"/>
      </w:pPr>
      <w:r>
        <w:t xml:space="preserve">4. die Kennzeichnung der Messgeräte und den Inhalt von Aufschriften auf Messgeräten im Sinne von § 6 Absatz 4 und 5 und § 9; soweit Angaben auf Messgeräten auf Grund deren Größe nicht möglich sind, können andere Formen der Informationsangabe festgelegt werden,</w:t>
      </w:r>
    </w:p>
    <w:p>
      <w:pPr>
        <w:ind w:left="420"/>
      </w:pPr>
      <w:r>
        <w:t xml:space="preserve">5. die Anforderungen an Konformitätsbewertungsstellen einschließlich näherer Regelungen über die Verpflichtung zum Abschluss einer Haftpflichtversicherung nach § 15 Absatz 8, insbesondere zum Umfang des notwendigen Versicherungsschutzes, den der Versicherungsvertrag zu gewähren hat, und zur Mindestversicherungssumme je Versicherungsfall sowie zu zulässigen Risikoausschlüssen,</w:t>
      </w:r>
    </w:p>
    <w:p>
      <w:pPr>
        <w:ind w:left="420"/>
      </w:pPr>
      <w:r>
        <w:t xml:space="preserve">6. die Anforderungen an die EG-Bauartzulassung und die EG-Ersteichung von Messgeräten, einschließlich Vorschriften über Kennzeichen und Aufschriften auf den Messgeräten sowie die von diesen Vorschriften erfassten Messgeräte.</w:t>
      </w:r>
    </w:p>
    <w:p>
      <w:r>
        <w:rPr>
          <w:color w:val="555555"/>
          <w:sz w:val="17"/>
        </w:rPr>
        <w:t xml:space="preserve">Zitiervorschlag: § 30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