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MessEG — Messgerätespezifische Begriffsbestimmungen</w:t>
      </w:r>
    </w:p>
    <w:p>
      <w:r>
        <w:rPr>
          <w:color w:val="555555"/>
          <w:sz w:val="18"/>
        </w:rPr>
        <w:t xml:space="preserve">Mess- und Eichgesetz</w:t>
      </w:r>
    </w:p>
    <w:p>
      <w:r>
        <w:rPr>
          <w:color w:val="555555"/>
          <w:sz w:val="18"/>
        </w:rPr>
        <w:t xml:space="preserve">Stand: 10.06.2019 (konsolidierte Textfassung, kein amtliches Inkrafttretensdatum)</w:t>
      </w:r>
    </w:p>
    <w:p>
      <w:r>
        <w:t xml:space="preserve">Im Sinne dieses Gesetzes und der auf seiner Grundlage ergangenen Rechtsverordnungen sind ferner folgende Begriffsbestimmungen anzuwenden:</w:t>
      </w:r>
    </w:p>
    <w:p>
      <w:pPr>
        <w:ind w:left="420"/>
      </w:pPr>
      <w:r>
        <w:t xml:space="preserve">1. anerkennende Stelle ist die Stelle, die einer Konformitätsbewertungsstelle auf Antrag gestattet, bestimmte Konformitätsbewertungstätigkeiten durchzuführen,</w:t>
      </w:r>
    </w:p>
    <w:p>
      <w:pPr>
        <w:ind w:left="420"/>
      </w:pPr>
      <w:r>
        <w:t xml:space="preserve">2. Bauart eines Messgeräts ist die endgültige Ausführung eines Exemplars des betreffenden Messgerätetyps,</w:t>
      </w:r>
    </w:p>
    <w:p>
      <w:pPr>
        <w:ind w:left="420"/>
      </w:pPr>
      <w:r>
        <w:t xml:space="preserve">3. EG-Bauartzulassung ist die Zulassung von Messgeräten zur EG-Ersteichung,</w:t>
      </w:r>
    </w:p>
    <w:p>
      <w:pPr>
        <w:ind w:left="420"/>
      </w:pPr>
      <w:r>
        <w:t xml:space="preserve">4. EG-Ersteichung ist die Prüfung und Bestätigung der Übereinstimmung eines neuen oder erneuerten Messgeräts mit der zugelassenen Bauart oder den Bestimmungen der Richtlinie 2009/34/EG des Europäischen Parlaments und des Rates vom 23. April 2009 betreffend gemeinsame Vorschriften über Messgeräte sowie über Mess- und Prüfverfahren (ABl. L 106 vom 28.4.2009, S. 7) oder den auf diese Richtlinie gestützten Einzelrichtlinien,</w:t>
      </w:r>
    </w:p>
    <w:p>
      <w:pPr>
        <w:ind w:left="420"/>
      </w:pPr>
      <w:r>
        <w:t xml:space="preserve">5. Eichung ist jede behördliche oder auf behördliche Veranlassung erfolgende Prüfung, Bewertung und Kennzeichnung eines Messgeräts, die mit der Erlaubnis verbunden sind, das Messgerät im Rahmen des vorgesehenen Verwendungszwecks und unter den entsprechenden Verwendungsbedingungen für eine weitere Eichfrist zu verwenden,</w:t>
      </w:r>
    </w:p>
    <w:p>
      <w:pPr>
        <w:ind w:left="420"/>
      </w:pPr>
      <w:r>
        <w:t xml:space="preserve">6. Fehlergrenze ist die beim Inverkehrbringen und bei der Eichung eines Messgeräts zulässige Abweichung der Messergebnisse des Messgeräts vom wahren Messergebnis,</w:t>
      </w:r>
    </w:p>
    <w:p>
      <w:pPr>
        <w:ind w:left="420"/>
      </w:pPr>
      <w:r>
        <w:t xml:space="preserve">7. Inbetriebnahme eines Messgeräts ist die erstmalige Nutzung eines für den Endnutzer bestimmten Messgeräts für den beabsichtigten Zweck,</w:t>
      </w:r>
    </w:p>
    <w:p>
      <w:pPr>
        <w:ind w:left="420"/>
      </w:pPr>
      <w:r>
        <w:t xml:space="preserve">8. Konformitätsbewertung ist das Verfahren zur Bewertung, ob spezifische Anforderungen an ein Messgerät erfüllt worden sind,</w:t>
      </w:r>
    </w:p>
    <w:p>
      <w:pPr>
        <w:ind w:left="420"/>
      </w:pPr>
      <w:r>
        <w:t xml:space="preserve">9. Konformitätsbewertungsstelle ist eine Stelle, die Konformitätsbewertungstätigkeiten einschließlich Kalibrierungen, Prüfungen, Zertifizierungen und Inspektionen durchführt,</w:t>
      </w:r>
    </w:p>
    <w:p>
      <w:pPr>
        <w:ind w:left="420"/>
      </w:pPr>
      <w:r>
        <w:t xml:space="preserve">10. Konformitätserklärung ist die Erklärung des Herstellers, dass ein Messgerät nachweislich die gesetzlichen Anforderungen erfüllt,</w:t>
      </w:r>
    </w:p>
    <w:p>
      <w:pPr>
        <w:ind w:left="420"/>
      </w:pPr>
      <w:r>
        <w:t xml:space="preserve">11. Maßverkörperungen sind Vorrichtungen, die dem Begriff des Messgeräts unterfallen und mit denen während ihrer Benutzung ein oder mehrere bekannte Werte einer gegebenen Größe permanent reproduziert oder bereitgestellt werden,</w:t>
      </w:r>
    </w:p>
    <w:p>
      <w:pPr>
        <w:ind w:left="420"/>
      </w:pPr>
      <w:r>
        <w:t xml:space="preserve">12. Messbeständigkeit ist die Eigenschaft eines Messgeräts, während der gesamten Nutzungsdauer Messrichtigkeit zu gewährleisten und die Messergebnisse, soweit diese im Messgerät gespeichert werden, unverändert zu erhalten,</w:t>
      </w:r>
    </w:p>
    <w:p>
      <w:pPr>
        <w:ind w:left="420"/>
      </w:pPr>
      <w:r>
        <w:t xml:space="preserve">13. Messgeräte sind alle Geräte oder Systeme von Geräten mit einer Messfunktion einschließlich Maßverkörperungen, die jeweils zur Verwendung im geschäftlichen oder amtlichen Verkehr oder zur Durchführung von Messungen im öffentlichen Interesse bestimmt sind,</w:t>
      </w:r>
    </w:p>
    <w:p>
      <w:pPr>
        <w:ind w:left="420"/>
      </w:pPr>
      <w:r>
        <w:t xml:space="preserve">14. sonstiges Messgerät ist jedes Gerät oder System von Geräten mit einer Messfunktion, das weder zur Verwendung im geschäftlichen oder amtlichen Verkehr noch zur Durchführung von Messungen im öffentlichen Interesse bestimmt ist,</w:t>
      </w:r>
    </w:p>
    <w:p>
      <w:pPr>
        <w:ind w:left="420"/>
      </w:pPr>
      <w:r>
        <w:t xml:space="preserve">15. Messgröße ist die physikalische Größe, die durch eine Messung zu bestimmen ist,</w:t>
      </w:r>
    </w:p>
    <w:p>
      <w:pPr>
        <w:ind w:left="420"/>
      </w:pPr>
      <w:r>
        <w:t xml:space="preserve">16. Messrichtigkeit ist die Eigenschaft eines Messgeräts, bei bestimmungsgemäßer Verwendung richtige Messergebnisse zu ermitteln,</w:t>
      </w:r>
    </w:p>
    <w:p>
      <w:pPr>
        <w:ind w:left="420"/>
      </w:pPr>
      <w:r>
        <w:t xml:space="preserve">17. nicht rückwirkungsfreie Schnittstelle ist eine Anschlussmöglichkeit an einem Messgerät, über die Messwerte eines Messgeräts verfälscht werden können oder Funktionen ausgelöst werden können, die einen Messwert verfälschen,</w:t>
      </w:r>
    </w:p>
    <w:p>
      <w:pPr>
        <w:ind w:left="420"/>
      </w:pPr>
      <w:r>
        <w:t xml:space="preserve">18. Notifizierung ist die Mitteilung der anerkennenden Stelle an die Europäische Kommission und die übrigen Mitgliedstaaten der Europäischen Union, dass eine Konformitätsbewertungsstelle Konformitätsbewertungsaufgaben bei Messgeräten vornimmt, auf die Rechtsvorschriften der Europäischen Union anwendbar sind, in denen eine derartige Mitteilung vorgeschrieben ist,</w:t>
      </w:r>
    </w:p>
    <w:p>
      <w:pPr>
        <w:ind w:left="420"/>
      </w:pPr>
      <w:r>
        <w:t xml:space="preserve">19. Prüfbarkeit ist die Eigenschaft eines Messgeräts, überprüfen zu können, ob die wesentlichen Anforderungen nach § 6 Absatz 2 vorliegen; die Prüfbarkeit beinhaltet auch die Darstellung der Messergebnisse,</w:t>
      </w:r>
    </w:p>
    <w:p>
      <w:pPr>
        <w:ind w:left="420"/>
      </w:pPr>
      <w:r>
        <w:t xml:space="preserve">20. Teilgerät ist eine als solche in einer Rechtsverordnung nach § 4 Absatz 3 genannte Baueinheit, die unabhängig arbeitet und zusammen mit folgenden Geräten ein Messgerät darstellt:</w:t>
      </w:r>
    </w:p>
    <w:p>
      <w:pPr>
        <w:ind w:left="780"/>
      </w:pPr>
      <w:r>
        <w:t xml:space="preserve">a) mit anderen Teilgeräten, mit denen sie kompatibel ist, oder</w:t>
      </w:r>
    </w:p>
    <w:p>
      <w:pPr>
        <w:ind w:left="780"/>
      </w:pPr>
      <w:r>
        <w:t xml:space="preserve">b) mit einem Messgerät, mit dem sie kompatibel ist,</w:t>
      </w:r>
    </w:p>
    <w:p>
      <w:pPr>
        <w:ind w:left="420"/>
      </w:pPr>
      <w:r>
        <w:t xml:space="preserve">21. Verkehrsfehlergrenze ist die beim Verwenden eines Messgeräts zulässige Abweichung der Messergebnisse des Messgeräts vom wahren Messergebnis,</w:t>
      </w:r>
    </w:p>
    <w:p>
      <w:pPr>
        <w:ind w:left="420"/>
      </w:pPr>
      <w:r>
        <w:t xml:space="preserve">22. Verwenden eines Messgeräts ist das erforderliche Betreiben oder Bereithalten eines Messgeräts zur Bestimmung von Messwerten</w:t>
      </w:r>
    </w:p>
    <w:p>
      <w:pPr>
        <w:ind w:left="780"/>
      </w:pPr>
      <w:r>
        <w:t xml:space="preserve">a) im geschäftlichen oder amtlichen Verkehr oder</w:t>
      </w:r>
    </w:p>
    <w:p>
      <w:pPr>
        <w:ind w:left="780"/>
      </w:pPr>
      <w:r>
        <w:t xml:space="preserve">b) bei Messungen im öffentlichen Interesse;</w:t>
      </w:r>
    </w:p>
    <w:p>
      <w:pPr>
        <w:ind w:left="420"/>
      </w:pPr>
      <w:r>
        <w:t xml:space="preserve">bereitgehalten wird ein Messgerät, wenn es ohne besondere Vorbereitung für die genannten Zwecke in Betrieb genommen werden kann und ein Betrieb zu diesen Zwecken nach Lage der Umstände zu erwarten ist,</w:t>
      </w:r>
    </w:p>
    <w:p>
      <w:pPr>
        <w:ind w:left="420"/>
      </w:pPr>
      <w:r>
        <w:t xml:space="preserve">23. Verwenden von Messwerten ist die erforderliche Nutzung von Messergebnissen eines Messgeräts</w:t>
      </w:r>
    </w:p>
    <w:p>
      <w:pPr>
        <w:ind w:left="780"/>
      </w:pPr>
      <w:r>
        <w:t xml:space="preserve">a) im geschäftlichen oder amtlichen Verkehr oder</w:t>
      </w:r>
    </w:p>
    <w:p>
      <w:pPr>
        <w:ind w:left="780"/>
      </w:pPr>
      <w:r>
        <w:t xml:space="preserve">b) bei Messungen im öffentlichen Interesse,</w:t>
      </w:r>
    </w:p>
    <w:p>
      <w:pPr>
        <w:ind w:left="420"/>
      </w:pPr>
      <w:r>
        <w:t xml:space="preserve">24. Zusatzeinrichtung zu einem Messgerät ist eine mit einem Messgerät verbundene Einrichtung, die für die Funktionsfähigkeit des Messgeräts nicht erforderlich ist und zu einem der folgenden Zwecke bestimmt ist:</w:t>
      </w:r>
    </w:p>
    <w:p>
      <w:pPr>
        <w:ind w:left="780"/>
      </w:pPr>
      <w:r>
        <w:t xml:space="preserve">a) zur Ermittlung zusätzlicher Messgrößen,</w:t>
      </w:r>
    </w:p>
    <w:p>
      <w:pPr>
        <w:ind w:left="780"/>
      </w:pPr>
      <w:r>
        <w:t xml:space="preserve">b) zur erstmaligen Speicherung oder Darstellung von Messergebnissen zum Zweck des Verwendens von Messwerten oder von Daten über die elektronische Steuerung des Messgeräts,</w:t>
      </w:r>
    </w:p>
    <w:p>
      <w:pPr>
        <w:ind w:left="780"/>
      </w:pPr>
      <w:r>
        <w:t xml:space="preserve">c) zur Steuerung von Leistungen,</w:t>
      </w:r>
    </w:p>
    <w:p>
      <w:pPr>
        <w:ind w:left="780"/>
      </w:pPr>
      <w:r>
        <w:t xml:space="preserve">d) zur Ermittlung des zu zahlenden Preises einer Kaufsache oder einer Dienstleistung in Anwesenheit der betroffenen Parteien (Direktverkauf),</w:t>
      </w:r>
    </w:p>
    <w:p>
      <w:pPr>
        <w:ind w:left="780"/>
      </w:pPr>
      <w:r>
        <w:t xml:space="preserve">e) zur Verarbeitung von Messergebnissen zum Zweck der Übermittlung an Zusatzeinrichtungen im Sinne der Buchstaben a bis d oder</w:t>
      </w:r>
    </w:p>
    <w:p>
      <w:pPr>
        <w:ind w:left="780"/>
      </w:pPr>
      <w:r>
        <w:t xml:space="preserve">f) zum Anschluss an eine nicht rückwirkungsfreie Schnittstelle des Messgeräts.</w:t>
      </w:r>
    </w:p>
    <w:p>
      <w:r>
        <w:rPr>
          <w:color w:val="555555"/>
          <w:sz w:val="17"/>
        </w:rPr>
        <w:t xml:space="preserve">Zitiervorschlag: § 3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