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MessEG — Pflichten der Wirtschaftsakteure in den Fällen der §§ 27 und 28</w:t>
      </w:r>
    </w:p>
    <w:p>
      <w:r>
        <w:rPr>
          <w:color w:val="555555"/>
          <w:sz w:val="18"/>
        </w:rPr>
        <w:t xml:space="preserve">Mess- und 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23 Absatz 3 bis 6, § 24 Absatz 2, § 25 Absatz 2 Nummer 3 und 4, Absatz 4 und 5 und § 26 Absatz 1 Satz 1 Nummer 2, Absatz 2 bis 4 sind für die Fälle der §§ 27 und 28 entsprechend anzuwenden.</w:t>
      </w:r>
    </w:p>
    <w:p>
      <w:r>
        <w:rPr>
          <w:color w:val="555555"/>
          <w:sz w:val="17"/>
        </w:rPr>
        <w:t xml:space="preserve">Zitiervorschlag: § 29 MessEG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