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MessEG — Messgeräte, die rechtmäßig im Ausland in Verkehr gebracht wurden</w:t>
      </w:r>
    </w:p>
    <w:p>
      <w:r>
        <w:rPr>
          <w:color w:val="555555"/>
          <w:sz w:val="18"/>
        </w:rPr>
        <w:t xml:space="preserve">Mess- und Eichgesetz</w:t>
      </w:r>
    </w:p>
    <w:p>
      <w:r>
        <w:rPr>
          <w:color w:val="555555"/>
          <w:sz w:val="18"/>
        </w:rPr>
        <w:t xml:space="preserve">Stand: 28.07.2021 (konsolidierte Textfassung, kein amtliches Inkrafttretensdatum)</w:t>
      </w:r>
    </w:p>
    <w:p>
      <w:r>
        <w:t xml:space="preserve">(1) Messgeräte, die</w:t>
      </w:r>
    </w:p>
    <w:p>
      <w:pPr>
        <w:ind w:left="420"/>
      </w:pPr>
      <w:r>
        <w:t xml:space="preserve">1. nicht die CE-Kennzeichnung, die EG-Bauartzulassung oder die EG-Ersteichung erhalten können und</w:t>
      </w:r>
    </w:p>
    <w:p>
      <w:pPr>
        <w:ind w:left="420"/>
      </w:pPr>
      <w:r>
        <w:t xml:space="preserve">2. in einem Mitgliedstaat der Europäischen Union oder einem Vertragsstaat des Abkommens über den Europäischen Wirtschaftsraum, in der Schweiz oder der Türkei rechtmäßig in Verkehr gebracht wurden,</w:t>
      </w:r>
    </w:p>
    <w:p>
      <w:r>
        <w:t xml:space="preserve">dürfen auch im Geltungsbereich dieses Gesetzes in Verkehr gebracht werden, wenn die Messrichtigkeit, Messbeständigkeit und Prüfbarkeit bei diesen Messgeräten in gleichwertiger Weise gewährleistet sind wie bei Messgeräten, die nach diesem Gesetz in Verkehr gebracht worden sind.</w:t>
      </w:r>
    </w:p>
    <w:p>
      <w:r>
        <w:t xml:space="preserve">(2) Die nach Landesrecht zuständigen Behörden haben bei einer Prüfung der Gleichwertigkeit von Messgeräten im Sinne des Absatzes 1 die Vorschriften der Verordnung (EU) 2019/515 des Europäischen Parlaments und des Rates vom 19. März 2019 über die gegenseitige Anerkennung von Waren, die in einem anderen Mitgliedstaat rechtmäßig in Verkehr gebracht worden sind und zur Aufhebung der Verordnung (EG) Nr. 764/2008 (ABl. L 91 vom 29.3.2019, S. 1) zu beachten.</w:t>
      </w:r>
    </w:p>
    <w:p>
      <w:r>
        <w:t xml:space="preserve">(3) (weggefallen)</w:t>
      </w:r>
    </w:p>
    <w:p>
      <w:r>
        <w:rPr>
          <w:color w:val="555555"/>
          <w:sz w:val="17"/>
        </w:rPr>
        <w:t xml:space="preserve">Zitiervorschlag: § 28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