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MessEG — EG-Bauartzulassung und EG-Ersteichung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Messgeräte, die nach den Vorschriften der Richtlinie 2009/34/EG des Europäischen Parlaments und des Rates vom 23. April 2009 betreffend gemeinsame Vorschriften über Messgeräte sowie über Mess- und Prüfverfahren (ABl. L 106 vom 28.4.2009, S. 7) über eine EG-Bauartzulassung verfügen, dürfen vorbehaltlich des Absatzes 2 in Verkehr gebracht werden. Sie dürfen erst in Betrieb genommen werden, wenn sie entsprechend den Vorschriften der genannten Richtlinie EG-erstgeeicht und gekennzeichnet sind.</w:t>
      </w:r>
    </w:p>
    <w:p>
      <w:r>
        <w:t xml:space="preserve">(2) Die EG-Bauartzulassung wird im Geltungsbereich dieses Gesetzes auf Antrag des Herstellers oder seines Bevollmächtigten durch die Physikalisch-Technische Bundesanstalt nach Maßgabe der Vorschriften der Rechtsverordnung nach § 30 Nummer 6 erteilt.</w:t>
      </w:r>
    </w:p>
    <w:p>
      <w:r>
        <w:t xml:space="preserve">(3) Die EG-Ersteichung wird im Geltungsbereich dieses Gesetzes auf Antrag eines Wirtschaftsakteurs oder desjenigen, der Messgeräte verwendet, durch die nach Landesrecht zuständigen Behörden nach Maßgabe der Vorschriften der Rechtsverordnung nach § 30 Nummer 6 erteilt.</w:t>
      </w:r>
    </w:p>
    <w:p>
      <w:r>
        <w:rPr>
          <w:color w:val="555555"/>
          <w:sz w:val="17"/>
        </w:rPr>
        <w:t xml:space="preserve">Zitiervorschlag: § 27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