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MessEG — Pflichten des Händlers</w:t>
      </w:r>
    </w:p>
    <w:p>
      <w:r>
        <w:rPr>
          <w:color w:val="555555"/>
          <w:sz w:val="18"/>
        </w:rPr>
        <w:t xml:space="preserve">Mess- und Eichgesetz</w:t>
      </w:r>
    </w:p>
    <w:p>
      <w:r>
        <w:rPr>
          <w:color w:val="555555"/>
          <w:sz w:val="18"/>
        </w:rPr>
        <w:t xml:space="preserve">Stand: 10.06.2019 (konsolidierte Textfassung, kein amtliches Inkrafttretensdatum)</w:t>
      </w:r>
    </w:p>
    <w:p>
      <w:r>
        <w:t xml:space="preserve">(1) Der Händler hat sicherzustellen, dass in Verkehr gebrachte Messgeräte von ihm nur auf dem Markt bereitgestellt oder für eigene Zwecke in Betrieb genommen werden, wenn</w:t>
      </w:r>
    </w:p>
    <w:p>
      <w:pPr>
        <w:ind w:left="420"/>
      </w:pPr>
      <w:r>
        <w:t xml:space="preserve">1. sie mit den nach § 6 Absatz 4 und 5 bestimmten Kennzeichen und Aufschriften versehen sind und</w:t>
      </w:r>
    </w:p>
    <w:p>
      <w:pPr>
        <w:ind w:left="420"/>
      </w:pPr>
      <w:r>
        <w:t xml:space="preserve">2. ihnen die in einer Rechtsverordnung nach § 30 Nummer 2 bestimmten Informationen für die Verwendung in deutscher Sprache beigefügt sind.</w:t>
      </w:r>
    </w:p>
    <w:p>
      <w:r>
        <w:t xml:space="preserve">Satz 1 Nummer 1 ist auch bei sonstigen Messgeräten anzuwenden.</w:t>
      </w:r>
    </w:p>
    <w:p>
      <w:r>
        <w:t xml:space="preserve">(2) Besteht berechtigter Grund zu der Annahme, dass ein Messgerät die wesentlichen Anforderungen nach § 6 Absatz 2 nicht einhält, darf der Händler das Messgerät erst auf dem Markt bereitstellen oder in Betrieb nehmen, wenn die Einhaltung der wesentlichen Anforderungen gewährleistet ist. Geht von dem Messgerät auf Grund messtechnischer Eigenschaften eine Gefahr aus, informiert er den Hersteller oder den Einführer sowie die nach Landesrecht zuständige Behörde unverzüglich über die Nichtkonformität.</w:t>
      </w:r>
    </w:p>
    <w:p>
      <w:r>
        <w:t xml:space="preserve">(3) Besteht berechtigter Grund zu der Annahme, dass ein Messgerät, das vom Händler auf dem Markt bereitgestellt wurde, die gesetzlichen Anforderungen nicht einhält, hat der Händler die erforderlichen Maßnahmen zu ergreifen, um die Konformität des Messgeräts herzustellen. Soweit notwendig, ruft er Messgeräte zurück oder nimmt sie zurück. Geht von dem Messgerät auf Grund messtechnischer Eigenschaften eine Gefahr aus, informiert er die nach Landesrecht zuständige Behörde unverzüglich über die Nichtkonformität und die bereits ergriffenen Maßnahmen.</w:t>
      </w:r>
    </w:p>
    <w:p>
      <w:r>
        <w:t xml:space="preserve">(4) Soweit Lagerung und Transport in der Verantwortung des Händlers erfolgen, hat dieser zu gewährleisten, dass dadurch nicht die wesentlichen Anforderungen, die das Messgerät erfüllen muss, beeinträchtigt werden.</w:t>
      </w:r>
    </w:p>
    <w:p>
      <w:r>
        <w:rPr>
          <w:color w:val="555555"/>
          <w:sz w:val="17"/>
        </w:rPr>
        <w:t xml:space="preserve">Zitiervorschlag: § 26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