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MessEG — Widerruf der Anerkennung</w:t>
      </w:r>
    </w:p>
    <w:p>
      <w:r>
        <w:rPr>
          <w:color w:val="555555"/>
          <w:sz w:val="18"/>
        </w:rPr>
        <w:t xml:space="preserve">Mess- und Eichgesetz</w:t>
      </w:r>
    </w:p>
    <w:p>
      <w:r>
        <w:rPr>
          <w:color w:val="555555"/>
          <w:sz w:val="18"/>
        </w:rPr>
        <w:t xml:space="preserve">Stand: 10.06.2019 (konsolidierte Textfassung, kein amtliches Inkrafttretensdatum)</w:t>
      </w:r>
    </w:p>
    <w:p>
      <w:r>
        <w:t xml:space="preserve">(1) Stellt die anerkennende Stelle fest oder wird sie darüber informiert, dass eine nach § 13 Absatz 1 anerkannte Konformitätsbewertungsstelle die in § 15 genannten Anforderungen nicht mehr erfüllt oder dass sie ihren Verpflichtungen nicht nachkommt, widerruft sie ganz oder teilweise die Anerkennung. Sie informiert unverzüglich die Europäische Kommission und die übrigen Mitgliedstaaten der Europäischen Union darüber, soweit die Anerkennung das Recht zur Bewertung von Messgeräten betrifft, die von Rechtsvorschriften der Europäischen Union erfasst sind.</w:t>
      </w:r>
    </w:p>
    <w:p>
      <w:r>
        <w:t xml:space="preserve">(2) Im Fall des Widerrufs nach Absatz 1 oder wenn die anerkannte Konformitätsbewertungsstelle ihre Tätigkeit einstellt, ergreift die anerkennende Stelle die geeigneten Maßnahmen, um zu gewährleisten, dass die Akten dieser Stelle von einer anderen anerkannten Konformitätsbewertungsstelle weiterbearbeitet und für die anerkennende Stelle und die Marktüberwachungsbehörden auf deren Verlangen bereitgehalten werden.</w:t>
      </w:r>
    </w:p>
    <w:p>
      <w:r>
        <w:rPr>
          <w:color w:val="555555"/>
          <w:sz w:val="17"/>
        </w:rPr>
        <w:t xml:space="preserve">Zitiervorschlag: § 22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