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MessEG — Zweigunternehmen einer anerkannten Konformitätsbewertungsstelle und Vergabe von Unteraufträgen</w:t>
      </w:r>
    </w:p>
    <w:p>
      <w:r>
        <w:rPr>
          <w:color w:val="555555"/>
          <w:sz w:val="18"/>
        </w:rPr>
        <w:t xml:space="preserve">Mess- und Eichgesetz</w:t>
      </w:r>
    </w:p>
    <w:p>
      <w:r>
        <w:rPr>
          <w:color w:val="555555"/>
          <w:sz w:val="18"/>
        </w:rPr>
        <w:t xml:space="preserve">Stand: 10.06.2019 (konsolidierte Textfassung, kein amtliches Inkrafttretensdatum)</w:t>
      </w:r>
    </w:p>
    <w:p>
      <w:r>
        <w:t xml:space="preserve">(1) Vergibt die anerkannte Konformitätsbewertungsstelle bestimmte mit der Konformitätsbewertung verbundene Aufgaben an Unterauftragnehmer oder überträgt sie diese Aufgaben einem Zweigunternehmen, stellt sie sicher, dass der Unterauftragnehmer oder das Zweigunternehmen die Anforderungen des § 15 erfüllt und informiert die anerkennende Stelle entsprechend.</w:t>
      </w:r>
    </w:p>
    <w:p>
      <w:r>
        <w:t xml:space="preserve">(2) Die anerkannte Konformitätsbewertungsstelle haftet für ein Verschulden ihrer Unterauftragnehmer oder Zweigunternehmer bei Ausführung der diesen von ihr übertragenen Arbeiten wie für eigenes Verschulden; dies gilt unabhängig davon, wo diese niedergelassen sind.</w:t>
      </w:r>
    </w:p>
    <w:p>
      <w:r>
        <w:t xml:space="preserve">(3) Arbeiten dürfen nur dann an einen Unterauftragnehmer vergeben oder einem Zweigunternehmen übertragen werden, wenn der Auftraggeber dem zustimmt.</w:t>
      </w:r>
    </w:p>
    <w:p>
      <w:r>
        <w:t xml:space="preserve">(4) Die anerkannte Konformitätsbewertungsstelle hält die einschlägigen Unterlagen über die Begutachtung der Qualifikation des Unterauftragnehmers oder des Zweigunternehmens und über die von ihm im Rahmen des Konformitätsbewertungsverfahrens ausgeführten Arbeiten für die anerkennende Stelle bereit.</w:t>
      </w:r>
    </w:p>
    <w:p>
      <w:r>
        <w:rPr>
          <w:color w:val="555555"/>
          <w:sz w:val="17"/>
        </w:rPr>
        <w:t xml:space="preserve">Zitiervorschlag: § 21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