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MessEG — Allgemeine Begriffsbestimmungen</w:t>
      </w:r>
    </w:p>
    <w:p>
      <w:r>
        <w:rPr>
          <w:color w:val="555555"/>
          <w:sz w:val="18"/>
        </w:rPr>
        <w:t xml:space="preserve">Mess- und Eichgesetz</w:t>
      </w:r>
    </w:p>
    <w:p>
      <w:r>
        <w:rPr>
          <w:color w:val="555555"/>
          <w:sz w:val="18"/>
        </w:rPr>
        <w:t xml:space="preserve">Stand: 10.06.2019 (konsolidierte Textfassung, kein amtliches Inkrafttretensdatum)</w:t>
      </w:r>
    </w:p>
    <w:p>
      <w:r>
        <w:t xml:space="preserve">Im Sinne dieses Gesetzes und der auf seiner Grundlage ergangenen Rechtsverordnungen sind die folgenden Begriffsbestimmungen anzuwenden:</w:t>
      </w:r>
    </w:p>
    <w:p>
      <w:pPr>
        <w:ind w:left="420"/>
      </w:pPr>
      <w:r>
        <w:t xml:space="preserve">1. Bereitstellung auf dem Markt ist jede entgeltliche oder unentgeltliche Abgabe eines Produkts zum Vertrieb, Verbrauch oder zur Verwendung auf dem Markt der Europäischen Union im Rahmen einer Geschäftstätigkeit,</w:t>
      </w:r>
    </w:p>
    <w:p>
      <w:pPr>
        <w:ind w:left="420"/>
      </w:pPr>
      <w:r>
        <w:t xml:space="preserve">2. Bevollmächtigter ist jede in der Europäischen Union ansässige natürliche oder juristische Person, die von einem Hersteller schriftlich beauftragt wurde, in seinem Namen bestimmte Aufgaben wahrzunehmen,</w:t>
      </w:r>
    </w:p>
    <w:p>
      <w:pPr>
        <w:ind w:left="420"/>
      </w:pPr>
      <w:r>
        <w:t xml:space="preserve">3. Einführer ist jede in der Europäischen Union ansässige natürliche oder juristische Person, die ein Produkt aus einem Drittstaat auf dem Markt der Europäischen Union in Verkehr bringt,</w:t>
      </w:r>
    </w:p>
    <w:p>
      <w:pPr>
        <w:ind w:left="420"/>
      </w:pPr>
      <w:r>
        <w:t xml:space="preserve">4. Händler ist jede natürliche oder juristische Person in der Lieferkette, die ein Produkt auf dem Markt bereitstellt, mit Ausnahme des Herstellers oder des Einführers,</w:t>
      </w:r>
    </w:p>
    <w:p>
      <w:pPr>
        <w:ind w:left="420"/>
      </w:pPr>
      <w:r>
        <w:t xml:space="preserve">5. harmonisierte Norm ist eine Norm</w:t>
      </w:r>
    </w:p>
    <w:p>
      <w:pPr>
        <w:ind w:left="780"/>
      </w:pPr>
      <w:r>
        <w:t xml:space="preserve">a) im Sinne des Artikels 2 Nummer 1 Buchstabe c der Verordnung (EU) Nr. 1025/2012 des Europäischen Parlaments und des Rates vom 25. Oktober 2012 zur europäischen Normung, zur Änderung der Richtlinien 89/686/EWG und 93/15/EWG des Rates sowie der Richtlinien 94/9/EG, 94/25/EG, 95/16/EG, 97/23/EG, 2004/22/EG, 2007/23/EG, 2009/23/EG und 2009/105/EG des Europäischen Parlaments und des Rates und zur Aufhebung des Beschlusses 87/95/EWG des Rates und des Beschlusses Nr. 1673/2006/EG des Europäischen Parlaments und des Rates (ABl. L 316 vom 14.11.2012, S. 12) und</w:t>
      </w:r>
    </w:p>
    <w:p>
      <w:pPr>
        <w:ind w:left="780"/>
      </w:pPr>
      <w:r>
        <w:t xml:space="preserve">b) deren Fundstelle im Amtsblatt der Europäischen Union veröffentlicht wurde,</w:t>
      </w:r>
    </w:p>
    <w:p>
      <w:pPr>
        <w:ind w:left="420"/>
      </w:pPr>
      <w:r>
        <w:t xml:space="preserve">6. Hersteller ist jede natürliche oder juristische Person, die ein Produkt herstellt oder ein Produkt entwickeln oder herstellen lässt und dieses Produkt unter ihrem eigenen Namen oder ihrer eigenen Marke vermarktet oder für eigene Zwecke in Betrieb nimmt; einem Hersteller eines Messgeräts ist gleichgestellt, wer ein auf dem Markt befindliches Messgerät so verändert, dass die Konformität mit den wesentlichen Anforderungen nach § 6 Absatz 2 beeinträchtigt werden kann,</w:t>
      </w:r>
    </w:p>
    <w:p>
      <w:pPr>
        <w:ind w:left="420"/>
      </w:pPr>
      <w:r>
        <w:t xml:space="preserve">7. Inverkehrbringen ist die erstmalige Bereitstellung eines Produkts auf dem Markt der Europäischen Union; einem erstmals bereitgestellten Messgerät gleichgestellt ist ein Messgerät, das in seiner Beschaffenheit mit dem Ziel einer Modifizierung seiner ursprünglichen messtechnischen Eigenschaften, seiner ursprünglichen Verwendung oder seiner ursprünglichen Bauart so wesentlich verändert wurde, dass eine Eichung nach § 37 zur umfassenden Bewertung des Messgeräts nicht ausreichend ist (erneuertes Messgerät),</w:t>
      </w:r>
    </w:p>
    <w:p>
      <w:pPr>
        <w:ind w:left="420"/>
      </w:pPr>
      <w:r>
        <w:t xml:space="preserve">8. Marktüberwachungsbehörde ist jede Behörde, die für die Durchführung der Marktüberwachung nach § 48 Absatz 1 zuständig ist,</w:t>
      </w:r>
    </w:p>
    <w:p>
      <w:pPr>
        <w:ind w:left="420"/>
      </w:pPr>
      <w:r>
        <w:t xml:space="preserve">9. normatives Dokument ist ein Dokument mit technischen Spezifikationen, das von der Internationalen Organisation für das gesetzliche Messwesen ausgearbeitet wurde und dessen Fundstelle im Amtsblatt der Europäischen Union veröffentlicht wurde,</w:t>
      </w:r>
    </w:p>
    <w:p>
      <w:pPr>
        <w:ind w:left="420"/>
      </w:pPr>
      <w:r>
        <w:t xml:space="preserve">10. Produkt ist ein Messgerät, ein sonstiges Messgerät, eine Fertigpackung oder eine andere Verkaufseinheit,</w:t>
      </w:r>
    </w:p>
    <w:p>
      <w:pPr>
        <w:ind w:left="420"/>
      </w:pPr>
      <w:r>
        <w:t xml:space="preserve">11. technische Spezifikation ist ein Schriftstück im Sinne des Artikels 2 Nummer 4 der Verordnung (EU) Nr. 1025/2012,</w:t>
      </w:r>
    </w:p>
    <w:p>
      <w:pPr>
        <w:ind w:left="420"/>
      </w:pPr>
      <w:r>
        <w:t xml:space="preserve">12. Wirtschaftsakteure sind Hersteller, Einführer, Händler und Bevollmächtigte.</w:t>
      </w:r>
    </w:p>
    <w:p>
      <w:r>
        <w:rPr>
          <w:color w:val="555555"/>
          <w:sz w:val="17"/>
        </w:rPr>
        <w:t xml:space="preserve">Zitiervorschlag: § 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