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MessEG — Vergabe von Kennnummern</w:t>
      </w:r>
    </w:p>
    <w:p>
      <w:r>
        <w:rPr>
          <w:color w:val="555555"/>
          <w:sz w:val="18"/>
        </w:rPr>
        <w:t xml:space="preserve">Mess- und Eichgesetz</w:t>
      </w:r>
    </w:p>
    <w:p>
      <w:r>
        <w:rPr>
          <w:color w:val="555555"/>
          <w:sz w:val="18"/>
        </w:rPr>
        <w:t xml:space="preserve">Stand: 10.06.2019 (konsolidierte Textfassung, kein amtliches Inkrafttretensdatum)</w:t>
      </w:r>
    </w:p>
    <w:p>
      <w:r>
        <w:t xml:space="preserve">(1) Die anerkennende Stelle vergibt an Konformitätsbewertungsstellen nach § 13 Absatz 1 oder § 14 Absatz 1, die nicht nach § 17 zu notifizieren sind, eine Kennnummer. Die Kennnummer besteht aus den Großbuchstaben „DE“ und vier nachfolgenden Ziffern. Die anerkennende Stelle veröffentlicht ein Verzeichnis der Konformitätsbewertungsstellen mit den von ihr vergebenen Kennnummern sowie Angaben zu den Tätigkeiten, für die die Anerkennung ausgesprochen wurde.</w:t>
      </w:r>
    </w:p>
    <w:p>
      <w:r>
        <w:t xml:space="preserve">(2) Konformitätsbewertungsstellen nach § 14 Absatz 1 dürfen Bewertungen von Messgeräten, bei deren Bewertung sie die Kennnummer nach Absatz 1 verwenden, nicht vornehmen, sofern die anerkennende Stelle die Kennnummer zurückgezogen hat. Die anerkennende Stelle hat die Kennnummer zurückzuziehen, wenn die Kompetenz der Konformitätsbewertungsstelle nicht mehr gegeben ist.</w:t>
      </w:r>
    </w:p>
    <w:p>
      <w:r>
        <w:rPr>
          <w:color w:val="555555"/>
          <w:sz w:val="17"/>
        </w:rPr>
        <w:t xml:space="preserve">Zitiervorschlag: § 18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