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MessEG — Notifizierung der Konformitätsbewertungsstelle</w:t>
      </w:r>
    </w:p>
    <w:p>
      <w:r>
        <w:rPr>
          <w:color w:val="555555"/>
          <w:sz w:val="18"/>
        </w:rPr>
        <w:t xml:space="preserve">Mess- und Eichgesetz</w:t>
      </w:r>
    </w:p>
    <w:p>
      <w:r>
        <w:rPr>
          <w:color w:val="555555"/>
          <w:sz w:val="18"/>
        </w:rPr>
        <w:t xml:space="preserve">Stand: 10.06.2019 (konsolidierte Textfassung, kein amtliches Inkrafttretensdatum)</w:t>
      </w:r>
    </w:p>
    <w:p>
      <w:r>
        <w:t xml:space="preserve">(1) Betrifft die Anerkennung einer Konformitätsbewertungsstelle die Bewertung von Messgeräten, die vom Anwendungsbereich von Rechtsvorschriften der Europäischen Union erfasst sind, in denen die Notifizierung dieser Stellen gegenüber der Europäischen Kommission und den übrigen Mitgliedstaaten der Europäischen Union vorgesehen ist, so ist die Anerkennung unter der aufschiebenden Bedingung zu erteilen, dass nach der Notifizierung innerhalb der folgenden Fristen weder die Europäische Kommission noch die übrigen Mitgliedstaaten der Europäischen Union Einwände erhoben haben:</w:t>
      </w:r>
    </w:p>
    <w:p>
      <w:pPr>
        <w:ind w:left="420"/>
      </w:pPr>
      <w:r>
        <w:t xml:space="preserve">1. innerhalb von zwei Wochen, sofern eine Akkreditierungsurkunde vorliegt, oder</w:t>
      </w:r>
    </w:p>
    <w:p>
      <w:pPr>
        <w:ind w:left="420"/>
      </w:pPr>
      <w:r>
        <w:t xml:space="preserve">2. innerhalb von zwei Monaten, sofern keine Akkreditierungsurkunde vorliegt.</w:t>
      </w:r>
    </w:p>
    <w:p>
      <w:r>
        <w:t xml:space="preserve">(2) Konformitätsbewertungsstellen nach § 14 Absatz 1 dürfen die Bewertung von Messgeräten, auf die Rechtsvorschriften der Europäischen Union anwendbar sind, in denen die Notifizierung dieser Stellen gegenüber der Europäischen Kommission und den übrigen Mitgliedstaaten der Europäischen Union vorgesehen ist, erst aufnehmen, wenn innerhalb der folgenden Fristen weder die Europäische Kommission noch die übrigen Mitgliedstaaten der Europäischen Union Einwände erhoben haben:</w:t>
      </w:r>
    </w:p>
    <w:p>
      <w:pPr>
        <w:ind w:left="420"/>
      </w:pPr>
      <w:r>
        <w:t xml:space="preserve">1. innerhalb von zwei Wochen, sofern eine Akkreditierungsurkunde vorliegt, oder</w:t>
      </w:r>
    </w:p>
    <w:p>
      <w:pPr>
        <w:ind w:left="420"/>
      </w:pPr>
      <w:r>
        <w:t xml:space="preserve">2. innerhalb von zwei Monaten, sofern keine Akkreditierungsurkunde vorliegt.</w:t>
      </w:r>
    </w:p>
    <w:p>
      <w:r>
        <w:t xml:space="preserve">Die Konformitätsbewertungsstellen nach § 14 Absatz 1 dürfen Bewertungen von Messgeräten nach Satz 1 nicht vornehmen, nachdem die anerkennende Stelle die Notifizierung zurückgezogen hat. Die anerkennende Stelle hat die Notifizierung zurückzuziehen, wenn die Kompetenz der Konformitätsbewertungsstelle nicht mehr gegeben ist.</w:t>
      </w:r>
    </w:p>
    <w:p>
      <w:r>
        <w:t xml:space="preserve">(3) Beruht die Bestätigung der Kompetenz nicht auf einer Akkreditierungsurkunde, legt die anerkennende Stelle der Europäischen Kommission und den übrigen Mitgliedstaaten der Europäischen Union die Unterlagen als Nachweis vor, die die Kompetenz der Konformitätsbewertungsstelle bestätigen. Sie legt ferner die Vereinbarungen vor, die getroffen wurden, um sicherzustellen, dass die Konformitätsbewertungsstelle regelmäßig überwacht wird und stets den Anforderungen nach § 15 genügt.</w:t>
      </w:r>
    </w:p>
    <w:p>
      <w:r>
        <w:t xml:space="preserve">(4) Die anerkennende Stelle erteilt der Europäischen Kommission auf Verlangen sämtliche Auskünfte über die Kompetenz der betreffenden Stelle zum Zeitpunkt der Notifizierung oder die Erhaltung der Kompetenz während der Tätigkeit der betreffenden Stelle.</w:t>
      </w:r>
    </w:p>
    <w:p>
      <w:r>
        <w:rPr>
          <w:color w:val="555555"/>
          <w:sz w:val="17"/>
        </w:rPr>
        <w:t xml:space="preserve">Zitiervorschlag: § 17 MessEG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