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MessEG — Anerkennung von Konformitätsbewertungsstellen</w:t>
      </w:r>
    </w:p>
    <w:p>
      <w:r>
        <w:rPr>
          <w:color w:val="555555"/>
          <w:sz w:val="18"/>
        </w:rPr>
        <w:t xml:space="preserve">Mess- und Eichgesetz</w:t>
      </w:r>
    </w:p>
    <w:p>
      <w:r>
        <w:rPr>
          <w:color w:val="555555"/>
          <w:sz w:val="18"/>
        </w:rPr>
        <w:t xml:space="preserve">Stand: 10.06.2019 (konsolidierte Textfassung, kein amtliches Inkrafttretensdatum)</w:t>
      </w:r>
    </w:p>
    <w:p>
      <w:r>
        <w:t xml:space="preserve">(1) Eine Konformitätsbewertungsstelle, die die Übereinstimmung von Messgeräten mit den wesentlichen Anforderungen bewerten will, bedarf der Anerkennung (anerkannte Konformitätsbewertungsstelle). Die Anerkennung ist durch die anerkennende Stelle für bestimmte Tätigkeiten auszusprechen, wenn</w:t>
      </w:r>
    </w:p>
    <w:p>
      <w:pPr>
        <w:ind w:left="420"/>
      </w:pPr>
      <w:r>
        <w:t xml:space="preserve">1. die Konformitätsbewertungsstelle dies beantragt und</w:t>
      </w:r>
    </w:p>
    <w:p>
      <w:pPr>
        <w:ind w:left="420"/>
      </w:pPr>
      <w:r>
        <w:t xml:space="preserve">2. sie für die Tätigkeiten akkreditiert ist.</w:t>
      </w:r>
    </w:p>
    <w:p>
      <w:r>
        <w:t xml:space="preserve">Die Anerkennung kann unter weiteren Bedingungen erteilt und mit Auflagen verbunden werden. Sie kann befristet und mit dem Vorbehalt des Widerrufs sowie nachträglicher Auflagen erteilt werden.</w:t>
      </w:r>
    </w:p>
    <w:p>
      <w:r>
        <w:t xml:space="preserve">(2) Dem Antrag nach Absatz 1 Satz 2 Nummer 1 legt die Konformitätsbewertungsstelle Folgendes bei:</w:t>
      </w:r>
    </w:p>
    <w:p>
      <w:pPr>
        <w:ind w:left="420"/>
      </w:pPr>
      <w:r>
        <w:t xml:space="preserve">1. eine Beschreibung der Konformitätsbewertungstätigkeiten und der Messgerätearten, für die sie Kompetenz beansprucht, sowie</w:t>
      </w:r>
    </w:p>
    <w:p>
      <w:pPr>
        <w:ind w:left="420"/>
      </w:pPr>
      <w:r>
        <w:t xml:space="preserve">2. eine Akkreditierungsurkunde im Original oder in Kopie, die von einer nationalen Akkreditierungsstelle ausgestellt wurde und in der die Akkreditierungsstelle bescheinigt, dass die Konformitätsbewertungsstelle die Anforderungen des § 15 erfüllt.</w:t>
      </w:r>
    </w:p>
    <w:p>
      <w:r>
        <w:t xml:space="preserve">(3) Das Verfahren nach Absatz 1 kann über eine einheitliche Stelle im Sinne des Artikels 6 der Richtlinie 2006/123/EG des Europäischen Parlaments und des Rates vom 12. Dezember 2006 über Dienstleistungen im Binnenmarkt (ABl. L 376 vom 27.12.2006, S. 36) abgewickelt werden. Die Prüfung des Antrags auf Anerkennung muss innerhalb von drei Monaten abgeschlossen sein; diese Frist beginnt, sobald der Stelle alle für die Entscheidung erforderlichen Unterlagen vorliegen. § 42a Absatz 2 Satz 2 bis 4 des Verwaltungsverfahrensgesetzes ist anzuwenden.</w:t>
      </w:r>
    </w:p>
    <w:p>
      <w:r>
        <w:t xml:space="preserve">(4) Stellen, die der Europäischen Kommission und den anderen Mitgliedstaaten der Europäischen Union auf Grund europäischer Harmonisierungsrechtsvorschriften von einem Mitgliedstaat der Europäischen Union oder einem anderen Vertragsstaat des Abkommens über den Europäischen Wirtschaftsraum, von der Schweiz oder der Türkei mitgeteilt worden sind, stehen in dem mitgeteilten Umfang einer anerkannten Konformitätsbewertungsstelle gleich.</w:t>
      </w:r>
    </w:p>
    <w:p>
      <w:r>
        <w:t xml:space="preserve">(5) Anerkennungen von Konformitätsbewertungsstellen aus einem anderen Mitgliedstaat der Europäischen Union oder einem anderen Vertragsstaat des Abkommens über den Europäischen Wirtschaftsraum stehen Anerkennungen nach Absatz 1 gleich, wenn sie ihnen gleichwertig sind. Für die Akkreditierung stehen Nachweise aus einem anderen Mitgliedstaat der Europäischen Union oder einem anderen Vertragsstaat des Abkommens über den Europäischen Wirtschaftsraum inländischen Nachweisen gleich, wenn aus ihnen hervorgeht, dass der Antragsteller</w:t>
      </w:r>
    </w:p>
    <w:p>
      <w:pPr>
        <w:ind w:left="420"/>
      </w:pPr>
      <w:r>
        <w:t xml:space="preserve">1. die betreffenden Anforderungen des § 15 erfüllt oder</w:t>
      </w:r>
    </w:p>
    <w:p>
      <w:pPr>
        <w:ind w:left="420"/>
      </w:pPr>
      <w:r>
        <w:t xml:space="preserve">2. die auf Grund ihrer Zielsetzung im Wesentlichen vergleichbaren Anforderungen des ausstellenden Staates erfüllt.</w:t>
      </w:r>
    </w:p>
    <w:p>
      <w:r>
        <w:t xml:space="preserve">Die Anerkennung nach Satz 1 oder die Nachweise nach Satz 2 hat der Antragsteller der anerkennenden Stelle bei Antragstellung im Original oder in Kopie vorzulegen. Die anerkennende Stelle kann eine Beglaubigung der Kopie und eine beglaubigte deutsche Übersetzung verlangen.</w:t>
      </w:r>
    </w:p>
    <w:p>
      <w:r>
        <w:rPr>
          <w:color w:val="555555"/>
          <w:sz w:val="17"/>
        </w:rPr>
        <w:t xml:space="preserve">Zitiervorschlag: § 13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