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MessEG — Besondere Vorschriften für Ausstellungsgeräte</w:t>
      </w:r>
    </w:p>
    <w:p>
      <w:r>
        <w:rPr>
          <w:color w:val="555555"/>
          <w:sz w:val="18"/>
        </w:rPr>
        <w:t xml:space="preserve">Mess- und Eichgesetz</w:t>
      </w:r>
    </w:p>
    <w:p>
      <w:r>
        <w:rPr>
          <w:color w:val="555555"/>
          <w:sz w:val="18"/>
        </w:rPr>
        <w:t xml:space="preserve">Stand: 10.06.2019 (konsolidierte Textfassung, kein amtliches Inkrafttretensdatum)</w:t>
      </w:r>
    </w:p>
    <w:p>
      <w:r>
        <w:t xml:space="preserve">Messgeräte, die den Bestimmungen dieses Gesetzes nicht entsprechen, dürfen auf Messen, Ausstellungen und Vorführungen nur ausgestellt werden, wenn ein sichtbares Schild deutlich darauf hinweist, dass sie für Zwecke dieses Gesetzes erst in Verkehr gebracht oder in Betrieb genommen werden dürfen, wenn sie den Bestimmungen dieses Gesetzes entsprechen.</w:t>
      </w:r>
    </w:p>
    <w:p>
      <w:r>
        <w:rPr>
          <w:color w:val="555555"/>
          <w:sz w:val="17"/>
        </w:rPr>
        <w:t xml:space="preserve">Zitiervorschlag: § 10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