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MessEG — Anwendungsbereich des Gesetzes</w:t>
      </w:r>
    </w:p>
    <w:p>
      <w:r>
        <w:rPr>
          <w:color w:val="555555"/>
          <w:sz w:val="18"/>
        </w:rPr>
        <w:t xml:space="preserve">Mess- und 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ist anzuwenden auf</w:t>
      </w:r>
    </w:p>
    <w:p>
      <w:pPr>
        <w:ind w:left="420"/>
      </w:pPr>
      <w:r>
        <w:t xml:space="preserve">1. Messgeräte und sonstige Messgeräte, soweit sie in einer Rechtsverordnung nach § 4 Absatz 1 oder 2 erfasst sind,</w:t>
      </w:r>
    </w:p>
    <w:p>
      <w:pPr>
        <w:ind w:left="420"/>
      </w:pPr>
      <w:r>
        <w:t xml:space="preserve">2. Teilgeräte, soweit in einer Rechtsverordnung nach § 4 Absatz 3 Teilgeräte bestimmt sind,</w:t>
      </w:r>
    </w:p>
    <w:p>
      <w:pPr>
        <w:ind w:left="420"/>
      </w:pPr>
      <w:r>
        <w:t xml:space="preserve">3. Zusatzeinrichtungen zu Messgeräten, soweit diese nicht durch eine Rechtsverordnung nach § 4 Absatz 4 vom Anwendungsbereich dieses Gesetzes ausgenommen sind,</w:t>
      </w:r>
    </w:p>
    <w:p>
      <w:pPr>
        <w:ind w:left="420"/>
      </w:pPr>
      <w:r>
        <w:t xml:space="preserve">4. Messwerte, die mit Hilfe der Messgeräte nach Nummer 1 ermittelt werden,</w:t>
      </w:r>
    </w:p>
    <w:p>
      <w:pPr>
        <w:ind w:left="420"/>
      </w:pPr>
      <w:r>
        <w:t xml:space="preserve">5. Fertigpackungen und andere Verkaufseinheiten.</w:t>
      </w:r>
    </w:p>
    <w:p>
      <w:r>
        <w:rPr>
          <w:color w:val="555555"/>
          <w:sz w:val="17"/>
        </w:rPr>
        <w:t xml:space="preserve">Zitiervorschlag: § 1 MessEG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https://recht.nulegal.eu/gesetze/MessEG/1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