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MeldDV (Bayern) — Zentraler Meldedatenbestand</w:t>
      </w:r>
    </w:p>
    <w:p>
      <w:r>
        <w:rPr>
          <w:color w:val="555555"/>
          <w:sz w:val="18"/>
        </w:rPr>
        <w:t xml:space="preserve">Meldedatenverordnung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Datenübermittlungen nach Art. 7 Abs. 1 BayGMPP erfolgen durch Datenübertragung über verwaltungseigene Kommunikationsnetze oder über das Internet. Die Datenübertragung erfolgt elektronisch unter Zugrundelegung des Datenaustauschformats OSCI-XMeld und Nutzung des Übermittlungsprotokolls OSCI-Transport in der im Bundesanzeiger jeweils bekannt gemachten geltenden Fassung oder eines vergleichbaren Sicherheitsstandards. Für Datenübermittlungen nach Art. 7 Abs. 1 BayGMPP kann die AKDB mit Zustimmung des Staatsministeriums des Innern, für Sport und Integration (Staatsministerium) ergänzende technische Vorgaben festlegen. Zur Führung des zentralen Meldedatenbestandes sind auch die Änderungsart Geburt, An- oder Abmeldung, Sterbefall oder Namensänderung mitzuteilen. Sofern die AKDB mit Zustimmung des Staatsministeriums die Übermittlung der Datenbestände anfordert, übertragen die Meldebehörden die in Art. 7 Abs. 1 BayGMPP genannten Daten einschließlich des bei ihnen gespeicherten inaktiven Bestands. Eine Anforderung nach Satz 5 setzt voraus, dass die Übermittlung der Datenbestände zur Erfüllung der in dieser Verordnung geregelten Aufgaben der AKDB erforderlich ist.</w:t>
      </w:r>
    </w:p>
    <w:p>
      <w:r>
        <w:t xml:space="preserve">(2) Die Verantwortung für die Richtigkeit der im zentralen Meldedatenbestand gespeicherten Daten trägt die nach Art. 7 Abs. 1 BayGMPP übermittelnde Stelle.</w:t>
      </w:r>
    </w:p>
    <w:p>
      <w:r>
        <w:t xml:space="preserve">(3) Die AKDB speichert die von den Meldebehörden nach Art. 7 Abs. 1 BayGMPP übermittelten Daten getrennt nach Gemeinden.</w:t>
      </w:r>
    </w:p>
    <w:p>
      <w:r>
        <w:t xml:space="preserve">(4) Der Umfang der im Rahmen von automatisierten Abrufen nach § 34a BMG erzeugten einzelnen Trefferlisten darf nach technischen Maßgaben begrenzt werden.</w:t>
      </w:r>
    </w:p>
    <w:p>
      <w:r>
        <w:t xml:space="preserve">(5) Die AKDB ist berechtigt, für öffentliche Stellen auf Anfrage einmalige oder regelmäßige Auswertungen des Datenbestandes nach Art. 7 Abs. 1 BayGMPP zur Gewinnung nicht personenbezogener statistischer Daten vorzunehmen, wenn diese Daten zur Erfüllung der Aufgaben der öffentlichen Stelle erforderlich sind.</w:t>
      </w:r>
    </w:p>
    <w:p>
      <w:r>
        <w:rPr>
          <w:color w:val="555555"/>
          <w:sz w:val="17"/>
        </w:rPr>
        <w:t xml:space="preserve">Zitiervorschlag: § 3 MeldDV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