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MeldDV (Bayern) — Datenübermittlungen an öffentlich-rechtliche Religionsgesellschaften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Meldebehörde hat den öffentlich-rechtlichen Religionsgesellschaften bei einer Anmeldung, der Abmeldung sowie einem Sterbefall oder der Änderung der Kirchenzugehörigkeit die in § 42 Abs. 1 BMG genannten Daten ihrer Mitglieder und die in § 42 Abs. 2 BMG genannten Daten der Familienangehörigen von Mitgliedern zu übermitteln. Zusätzlich zu den Daten nach § 42 Abs. 2 BMG dürfen die Meldebehörden den Doktorgrad (Datenblatt 0401) der Familienangehörigen übermitteln.</w:t>
      </w:r>
    </w:p>
    <w:p>
      <w:r>
        <w:t xml:space="preserve">(2) Die Datenübermittlung zwischen Meldebehörden und öffentlich-rechtlichen Religionsgesellschaften erfolgt unter Zugrundelegung des Datenaustauschformats OSCI-XMeld und Nutzung des Übermittlungsprotokolls OSCI-Transport gemäß § 3 1. BMeldDÜV, wenn die öffentlich-rechtliche Religionsgesellschaft zugestimmt hat.</w:t>
      </w:r>
    </w:p>
    <w:p>
      <w:r>
        <w:rPr>
          <w:color w:val="555555"/>
          <w:sz w:val="17"/>
        </w:rPr>
        <w:t xml:space="preserve">Zitiervorschlag: § 22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