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MeldDV (Bayern) — Datenübermittlungen an die Sprengstoffbehörden</w:t>
      </w:r>
    </w:p>
    <w:p>
      <w:r>
        <w:rPr>
          <w:color w:val="555555"/>
          <w:sz w:val="18"/>
        </w:rPr>
        <w:t xml:space="preserve">Meldedatenverordnung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Meldebehörden übermitteln der zur Erfüllung der Aufgaben nach dem Sprengstoffgesetz zuständigen bayerischen Behörde bei einem Zu- oder Wegzug, bei einer Änderung der derzeitigen Anschrift im Zuständigkeitsbereich der Meldebehörde, einem Wohnungsstatuswechsel, einem Sterbefall oder einer Namensänderung folgende Daten eines Einwohners, der im Besitz einer sprengstoffrechtlichen Erlaubnis ist:</w:t>
      </w:r>
    </w:p>
    <w:p>
      <w:r>
        <w:t xml:space="preserve">Datenblätter:</w:t>
      </w:r>
    </w:p>
    <w:p>
      <w:r>
        <w:t xml:space="preserve">1.</w:t>
      </w:r>
    </w:p>
    <w:p>
      <w:r>
        <w:t xml:space="preserve">Familienname</w:t>
      </w:r>
    </w:p>
    <w:p>
      <w:r>
        <w:t xml:space="preserve">0101a bis 0105a,</w:t>
      </w:r>
    </w:p>
    <w:p>
      <w:r>
        <w:t xml:space="preserve">2.</w:t>
      </w:r>
    </w:p>
    <w:p>
      <w:r>
        <w:t xml:space="preserve">frühere Namen</w:t>
      </w:r>
    </w:p>
    <w:p>
      <w:r>
        <w:t xml:space="preserve">0201a bis 0206,</w:t>
      </w:r>
    </w:p>
    <w:p>
      <w:r>
        <w:t xml:space="preserve">3.</w:t>
      </w:r>
    </w:p>
    <w:p>
      <w:r>
        <w:t xml:space="preserve">Vornamen und frühere Vornamen</w:t>
      </w:r>
    </w:p>
    <w:p>
      <w:r>
        <w:t xml:space="preserve">0301 bis 0304,</w:t>
      </w:r>
    </w:p>
    <w:p>
      <w:r>
        <w:t xml:space="preserve">4.</w:t>
      </w:r>
    </w:p>
    <w:p>
      <w:r>
        <w:t xml:space="preserve">Doktorgrad</w:t>
      </w:r>
    </w:p>
    <w:p>
      <w:r>
        <w:t xml:space="preserve">0401,</w:t>
      </w:r>
    </w:p>
    <w:p>
      <w:r>
        <w:t xml:space="preserve">5.</w:t>
      </w:r>
    </w:p>
    <w:p>
      <w:r>
        <w:t xml:space="preserve">Geburtsdatum und Geburtsort sowie bei Geburt im Ausland auch den Staat</w:t>
      </w:r>
    </w:p>
    <w:p>
      <w:r>
        <w:t xml:space="preserve">0601 bis 0603,</w:t>
      </w:r>
    </w:p>
    <w:p>
      <w:r>
        <w:t xml:space="preserve">6.</w:t>
      </w:r>
    </w:p>
    <w:p>
      <w:r>
        <w:t xml:space="preserve">gesetzliche Vertreter</w:t>
      </w:r>
    </w:p>
    <w:p>
      <w:r>
        <w:t xml:space="preserve">a)</w:t>
      </w:r>
    </w:p>
    <w:p>
      <w:r>
        <w:t xml:space="preserve">Familienname</w:t>
      </w:r>
    </w:p>
    <w:p>
      <w:r>
        <w:t xml:space="preserve">0902a,</w:t>
      </w:r>
    </w:p>
    <w:p>
      <w:r>
        <w:t xml:space="preserve">b)</w:t>
      </w:r>
    </w:p>
    <w:p>
      <w:r>
        <w:t xml:space="preserve">Vornamen</w:t>
      </w:r>
    </w:p>
    <w:p>
      <w:r>
        <w:t xml:space="preserve">0904,</w:t>
      </w:r>
    </w:p>
    <w:p>
      <w:r>
        <w:t xml:space="preserve">c)</w:t>
      </w:r>
    </w:p>
    <w:p>
      <w:r>
        <w:t xml:space="preserve">Doktorgrad</w:t>
      </w:r>
    </w:p>
    <w:p>
      <w:r>
        <w:t xml:space="preserve">0905,</w:t>
      </w:r>
    </w:p>
    <w:p>
      <w:r>
        <w:t xml:space="preserve">d)</w:t>
      </w:r>
    </w:p>
    <w:p>
      <w:r>
        <w:t xml:space="preserve">Anschrift</w:t>
      </w:r>
    </w:p>
    <w:p>
      <w:r>
        <w:t xml:space="preserve">1200 bis 1212,</w:t>
      </w:r>
    </w:p>
    <w:p>
      <w:r>
        <w:t xml:space="preserve">0907a,</w:t>
      </w:r>
    </w:p>
    <w:p>
      <w:r>
        <w:t xml:space="preserve">7.</w:t>
      </w:r>
    </w:p>
    <w:p>
      <w:r>
        <w:t xml:space="preserve">derzeitige Anschrift (Hauptwohnung) oder Wegzugsanschrift, bei einem Wegzug in das Ausland auch den Staat</w:t>
      </w:r>
    </w:p>
    <w:p>
      <w:r>
        <w:t xml:space="preserve">1200 bis 1213a, 1232, 1233,</w:t>
      </w:r>
    </w:p>
    <w:p>
      <w:r>
        <w:t xml:space="preserve">8.</w:t>
      </w:r>
    </w:p>
    <w:p>
      <w:r>
        <w:t xml:space="preserve">Sterbedatum</w:t>
      </w:r>
    </w:p>
    <w:p>
      <w:r>
        <w:t xml:space="preserve">1901,</w:t>
      </w:r>
    </w:p>
    <w:p>
      <w:r>
        <w:t xml:space="preserve">9.</w:t>
      </w:r>
    </w:p>
    <w:p>
      <w:r>
        <w:t xml:space="preserve">die Tatsache, dass eine sprengstoffrechtliche Erlaubnis oder ein Befähigungsschein nach § 20 SprengG erteilt worden ist, sowie die Behörde, die diese Tatsache mitteilt, mit Angabe des Datums der erstmaligen Erteilung</w:t>
      </w:r>
    </w:p>
    <w:p>
      <w:r>
        <w:t xml:space="preserve">2801, 2802.</w:t>
      </w:r>
    </w:p>
    <w:p>
      <w:r>
        <w:t xml:space="preserve">(2) Die Sprengstoffbehörden können bei einer Personensuche über den in § 5 Abs. 1 Nr. 1 genannten Datenumfang hinaus die in Abs. 1 Nr. 9 genannten Daten aus dem nach Art. 7 Abs. 1 BayGMPP geschaffenen zentralen Meldedatenbestand automatisiert abrufen.</w:t>
      </w:r>
    </w:p>
    <w:p>
      <w:r>
        <w:rPr>
          <w:color w:val="555555"/>
          <w:sz w:val="17"/>
        </w:rPr>
        <w:t xml:space="preserve">Zitiervorschlag: § 10 MeldDV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https://recht.nulegal.eu/gesetze/MeldDV/10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