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MeldDV (Bayern) — Allgemeines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regelt</w:t>
      </w:r>
    </w:p>
    <w:p>
      <w:r>
        <w:t xml:space="preserve">1. die Durchführung regelmäßiger Datenübermittlungen im Sinn des § 36 des Bundesmeldegesetzes (BMG) von Meldebehörden und der Anstalt für kommunale Datenverarbeitung in Bayern (AKDB) an andere Behörden oder sonstige öffentliche Stellen innerhalb Bayerns,</w:t>
      </w:r>
    </w:p>
    <w:p>
      <w:r>
        <w:t xml:space="preserve">2. die Durchführung automatisierter Abrufe im Sinn des § 34a BMG aus dem zentralen Meldedatenbestand nach Art. 7 des Bayerischen Gesetzes zum Melde-, Pass- und Personalausweiswesen (BayGMPP),</w:t>
      </w:r>
    </w:p>
    <w:p>
      <w:r>
        <w:t xml:space="preserve">3. das Verfahren für an außerbayerische Stellen gerichtete automatisierte Abrufe im Sinn des § 34a BMG durch bayerische Behörden sowie</w:t>
      </w:r>
    </w:p>
    <w:p>
      <w:r>
        <w:t xml:space="preserve">4. die Führung des zentralen Meldedatenbestands.</w:t>
      </w:r>
    </w:p>
    <w:p>
      <w:r>
        <w:t xml:space="preserve">(2) Hinsichtlich des Standards der Datenübermittlung gilt § 3 der Ersten Bundesmeldedatenübermittlungsverordnung (1. BMeldDÜV) entsprechend.</w:t>
      </w:r>
    </w:p>
    <w:p>
      <w:r>
        <w:t xml:space="preserve">(3) Die zu übermittelnden Daten sind in dieser Verordnung unter Angabe der Datenblätter des Datensatzes für das Meldewesen nach § 3 Abs. 3 1. BMeldDÜV bezeichnet.</w:t>
      </w:r>
    </w:p>
    <w:p>
      <w:r>
        <w:t xml:space="preserve">(4) Hat die betroffene Person mehrere Wohnungen im Inland, ist Meldebehörde im Sinn dieser Verordnung, sofern nichts Abweichendes bestimmt ist, die Meldebehörde der Hauptwohnung.</w:t>
      </w:r>
    </w:p>
    <w:p>
      <w:r>
        <w:rPr>
          <w:color w:val="555555"/>
          <w:sz w:val="17"/>
        </w:rPr>
        <w:t xml:space="preserve">Zitiervorschlag: § 1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