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MeldDÜV (Brandenburg) — Datenübermittlungen an die Suchdienste</w:t>
      </w:r>
    </w:p>
    <w:p>
      <w:r>
        <w:rPr>
          <w:color w:val="555555"/>
          <w:sz w:val="18"/>
        </w:rPr>
        <w:t xml:space="preserve">Verordnung über regelmäßige Datenübermittlungen der Meldebehörden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Meldebehörden dürfen den Suchdiensten zur Erfüllung ihrer öffentlich-rechtlichen Aufgaben regelmäßig folgende Daten von den Personen, die aus den in § 1 Absatz 2 Nummer 3 des Bundesvertriebenengesetzes bezeichneten Gebieten stammen, anlässlich ihrer Anmeldung übermitteln:</w:t>
      </w:r>
    </w:p>
    <w:p>
      <w:r>
        <w:t xml:space="preserve">Familienname,</w:t>
      </w:r>
    </w:p>
    <w:p>
      <w:r>
        <w:t xml:space="preserve">frühere Namen,</w:t>
      </w:r>
    </w:p>
    <w:p>
      <w:r>
        <w:t xml:space="preserve">Vornamen,</w:t>
      </w:r>
    </w:p>
    <w:p>
      <w:r>
        <w:t xml:space="preserve">Geburtsdatum und Geburtsort sowie bei Geburt im Ausland auch den Staat,</w:t>
      </w:r>
    </w:p>
    <w:p>
      <w:r>
        <w:t xml:space="preserve">derzeitige und frühere Anschriften,</w:t>
      </w:r>
    </w:p>
    <w:p>
      <w:r>
        <w:t xml:space="preserve">Anschrift am 1. September 1939 und</w:t>
      </w:r>
    </w:p>
    <w:p>
      <w:r>
        <w:t xml:space="preserve">Auskunftssperren nach § 51 des Bundesmeldegesetzes.</w:t>
      </w:r>
    </w:p>
    <w:p>
      <w:r>
        <w:t xml:space="preserve">(2) Die Datenübermittlung nach § 43 Absatz 2 des Bundesmeldegesetzes darf durch automatisierten Abruf bei der Registerbehörde erfolgen.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4 MeldDÜV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https://recht.nulegal.eu/gesetze/MeldD%C3%9CV/4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