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MeldDÜV (Brandenburg) — Inkrafttreten, Außerkrafttreten</w:t>
      </w:r>
    </w:p>
    <w:p>
      <w:r>
        <w:rPr>
          <w:color w:val="555555"/>
          <w:sz w:val="18"/>
        </w:rPr>
        <w:t xml:space="preserve">Verordnung über regelmäßige Datenübermittlungen der Meldebehörden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über regelmäßige Datenübermittlungen der Meldebehörden vom 7. August 1997 ( GVBl. II S. 734), die zuletzt durch die Verordnung vom 27. September 2012 (GVBl. II Nr. 83) geändert worden ist, außer Kraft.</w:t>
      </w:r>
    </w:p>
    <w:p>
      <w:r>
        <w:t xml:space="preserve">Einzelnorm</w:t>
      </w:r>
    </w:p>
    <w:p>
      <w:r>
        <w:t xml:space="preserve">Potsdam, den 2. November 2015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20 MeldDÜV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https://recht.nulegal.eu/gesetze/MeldD%C3%9CV/20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