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MeldDÜV NRW (Nordrhein-Westfalen) — Begriff und Verfahren</w:t>
      </w:r>
    </w:p>
    <w:p>
      <w:r>
        <w:rPr>
          <w:color w:val="555555"/>
          <w:sz w:val="18"/>
        </w:rPr>
        <w:t xml:space="preserve">Meldedatenübermittlungsverordnung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Regelmäßige Datenübermittlungen erfolgen anlassbezogen wiederkehrend an öffentliche Stellen des Landes Nordrhein-Westfalen, ohne dass es eines Auskunftsersuchens bedarf. Die Fälle einer regelmäßigen Datenübermittlung sind zulässig, soweit sie durch Landesrecht oder diese Verordnung bestimmt sind.</w:t>
      </w:r>
    </w:p>
    <w:p>
      <w:r>
        <w:t xml:space="preserve">(2) Bei Vorliegen einer Auskunftssperre nach § 51 des Bundesmeldegesetzes und eines bedingten Sperrvermerks nach § 52 des Bundesmeldegesetzes erfolgt die Datenübermittlung verbunden mit dem Hinweis, dass eine Auskunftssperre beziehungsweise ein bedingter Sperrvermerk vorliegt.</w:t>
      </w:r>
    </w:p>
    <w:p>
      <w:r>
        <w:t xml:space="preserve">(3) Die regelmäßige Datenübermittlung erfolgt durch die für die Hauptwohnung zuständige Meldebehörde, in den Fällen des § 4 auch durch die für die Nebenwohnung zuständige Meldebehörde.</w:t>
      </w:r>
    </w:p>
    <w:p>
      <w:r>
        <w:rPr>
          <w:color w:val="555555"/>
          <w:sz w:val="17"/>
        </w:rPr>
        <w:t xml:space="preserve">Zitiervorschlag: § 2 MeldDÜV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https://recht.nulegal.eu/gesetze/MeldD%C3%9CV%20NRW/2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