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Mel-MaZV (Brandenburg)</w:t>
      </w:r>
    </w:p>
    <w:p>
      <w:r>
        <w:rPr>
          <w:color w:val="555555"/>
          <w:sz w:val="18"/>
        </w:rPr>
        <w:t xml:space="preserve">Verordnung über Zuständigkeiten nach dem Gesetz über Meldungen über Marktordnungswaren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Verwaltungsbehörde für die Verfolgung und Ahndung von Ordnungswidrigkeiten nach § 17 Abs. 1 des Gesetzes über Meldungen über Marktordnungswaren ist das Landesamt für Ernährung, Landwirtschaft und Flurneuordnung.</w:t>
      </w:r>
    </w:p>
    <w:p>
      <w:r>
        <w:rPr>
          <w:color w:val="555555"/>
          <w:sz w:val="17"/>
        </w:rPr>
        <w:t xml:space="preserve">Zitiervorschlag: § 2 Mel-MaZV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https://recht.nulegal.eu/gesetze/Mel-MaZV/2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